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pStyle w:val="berschrift4"/>
        <w:rPr>
          <w:rFonts w:cs="Arial"/>
        </w:rPr>
      </w:pPr>
    </w:p>
    <w:p w:rsidR="004719FB" w:rsidRDefault="004719FB">
      <w:pPr>
        <w:jc w:val="center"/>
        <w:rPr>
          <w:rFonts w:cs="Arial"/>
          <w:sz w:val="36"/>
          <w:szCs w:val="36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pStyle w:val="Kopfzeile"/>
        <w:tabs>
          <w:tab w:val="clear" w:pos="4819"/>
          <w:tab w:val="clear" w:pos="9638"/>
        </w:tabs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pStyle w:val="Textkrper"/>
        <w:jc w:val="center"/>
        <w:rPr>
          <w:rFonts w:cs="Arial"/>
          <w:sz w:val="40"/>
        </w:rPr>
      </w:pPr>
      <w:r>
        <w:rPr>
          <w:rFonts w:cs="Arial"/>
          <w:sz w:val="40"/>
        </w:rPr>
        <w:t>“</w:t>
      </w:r>
      <w:r w:rsidR="009C15B3">
        <w:rPr>
          <w:rFonts w:cs="Arial"/>
          <w:sz w:val="40"/>
        </w:rPr>
        <w:t>Unheated compressible turbulent jet</w:t>
      </w:r>
      <w:r>
        <w:rPr>
          <w:rFonts w:cs="Arial"/>
          <w:sz w:val="40"/>
        </w:rPr>
        <w:t>”</w:t>
      </w:r>
    </w:p>
    <w:p w:rsidR="004719FB" w:rsidRDefault="004719FB">
      <w:pPr>
        <w:pStyle w:val="Textkrper"/>
        <w:jc w:val="center"/>
        <w:rPr>
          <w:rFonts w:cs="Arial"/>
          <w:sz w:val="40"/>
        </w:rPr>
      </w:pPr>
    </w:p>
    <w:p w:rsidR="00E3665C" w:rsidRDefault="004719FB">
      <w:pPr>
        <w:pStyle w:val="Textkrper"/>
        <w:jc w:val="center"/>
        <w:rPr>
          <w:rFonts w:cs="Arial"/>
          <w:sz w:val="40"/>
        </w:rPr>
      </w:pPr>
      <w:r>
        <w:rPr>
          <w:rFonts w:cs="Arial"/>
          <w:sz w:val="40"/>
        </w:rPr>
        <w:t xml:space="preserve">TC co-ordinator: </w:t>
      </w:r>
    </w:p>
    <w:p w:rsidR="004719FB" w:rsidRDefault="000A63E8">
      <w:pPr>
        <w:pStyle w:val="Textkrper"/>
        <w:jc w:val="center"/>
        <w:rPr>
          <w:rFonts w:cs="Arial"/>
          <w:sz w:val="40"/>
        </w:rPr>
      </w:pPr>
      <w:r>
        <w:rPr>
          <w:rFonts w:cs="Arial"/>
          <w:sz w:val="40"/>
        </w:rPr>
        <w:t>CFDB</w:t>
      </w:r>
    </w:p>
    <w:p w:rsidR="004719FB" w:rsidRDefault="000A63E8">
      <w:pPr>
        <w:pStyle w:val="Textkrper"/>
        <w:jc w:val="center"/>
        <w:rPr>
          <w:rFonts w:cs="Arial"/>
          <w:sz w:val="40"/>
        </w:rPr>
      </w:pPr>
      <w:r>
        <w:rPr>
          <w:rFonts w:cs="Arial"/>
          <w:sz w:val="40"/>
        </w:rPr>
        <w:t>Marian Fuchs</w:t>
      </w:r>
      <w:r w:rsidR="00CF7B15">
        <w:rPr>
          <w:rFonts w:cs="Arial"/>
          <w:sz w:val="40"/>
        </w:rPr>
        <w:t xml:space="preserve"> &amp; Charles </w:t>
      </w:r>
      <w:proofErr w:type="spellStart"/>
      <w:r w:rsidR="00CF7B15">
        <w:rPr>
          <w:rFonts w:cs="Arial"/>
          <w:sz w:val="40"/>
        </w:rPr>
        <w:t>Mockett</w:t>
      </w:r>
      <w:proofErr w:type="spellEnd"/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C35F14">
      <w:pPr>
        <w:pStyle w:val="berschrift4"/>
        <w:rPr>
          <w:rFonts w:cs="Arial"/>
        </w:rPr>
      </w:pPr>
      <w:r>
        <w:rPr>
          <w:rFonts w:cs="Arial"/>
        </w:rPr>
        <w:t>Version 4</w:t>
      </w:r>
      <w:r w:rsidR="004957A3">
        <w:rPr>
          <w:rFonts w:cs="Arial"/>
        </w:rPr>
        <w:t xml:space="preserve">, </w:t>
      </w:r>
      <w:r>
        <w:rPr>
          <w:rFonts w:cs="Arial"/>
        </w:rPr>
        <w:t>21</w:t>
      </w:r>
      <w:r w:rsidR="0097369D">
        <w:rPr>
          <w:rFonts w:cs="Arial"/>
        </w:rPr>
        <w:t xml:space="preserve"> </w:t>
      </w:r>
      <w:r w:rsidR="002D0E7B">
        <w:rPr>
          <w:rFonts w:cs="Arial"/>
        </w:rPr>
        <w:t>October</w:t>
      </w:r>
      <w:r w:rsidR="009D13CC">
        <w:rPr>
          <w:rFonts w:cs="Arial"/>
        </w:rPr>
        <w:t xml:space="preserve"> 2014</w:t>
      </w: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Pr="002D0E7B" w:rsidRDefault="004719F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Pr="002D0E7B" w:rsidRDefault="00676C3B" w:rsidP="005226AF">
      <w:pPr>
        <w:jc w:val="center"/>
        <w:rPr>
          <w:rFonts w:cs="Arial"/>
          <w:noProof/>
          <w:lang w:val="en-US" w:eastAsia="de-DE"/>
        </w:rPr>
      </w:pPr>
    </w:p>
    <w:p w:rsidR="00676C3B" w:rsidRDefault="00676C3B" w:rsidP="005226AF">
      <w:pPr>
        <w:jc w:val="center"/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CD0330" w:rsidRDefault="00CD0330">
      <w:pPr>
        <w:rPr>
          <w:rFonts w:cs="Arial"/>
        </w:rPr>
      </w:pPr>
    </w:p>
    <w:p w:rsidR="00E3665C" w:rsidRDefault="00E3665C">
      <w:pPr>
        <w:rPr>
          <w:rFonts w:cs="Arial"/>
        </w:rPr>
      </w:pPr>
    </w:p>
    <w:p w:rsidR="005226AF" w:rsidRDefault="005226AF">
      <w:pPr>
        <w:rPr>
          <w:rFonts w:cs="Arial"/>
        </w:rPr>
      </w:pPr>
    </w:p>
    <w:p w:rsidR="005226AF" w:rsidRDefault="005226AF">
      <w:pPr>
        <w:rPr>
          <w:rFonts w:cs="Arial"/>
        </w:rPr>
      </w:pPr>
    </w:p>
    <w:p w:rsidR="00CD0330" w:rsidRDefault="00CD0330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rPr>
          <w:rFonts w:cs="Arial"/>
        </w:rPr>
      </w:pPr>
    </w:p>
    <w:p w:rsidR="004719FB" w:rsidRDefault="004719FB">
      <w:pPr>
        <w:autoSpaceDE w:val="0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lastRenderedPageBreak/>
        <w:t>Table of Contents</w:t>
      </w:r>
    </w:p>
    <w:p w:rsidR="004719FB" w:rsidRDefault="004719FB">
      <w:pPr>
        <w:autoSpaceDE w:val="0"/>
        <w:rPr>
          <w:rFonts w:cs="Arial"/>
          <w:b/>
          <w:bCs/>
          <w:sz w:val="24"/>
          <w:szCs w:val="24"/>
          <w:lang w:val="en-US"/>
        </w:rPr>
      </w:pPr>
    </w:p>
    <w:p w:rsidR="00DD38BC" w:rsidRDefault="00C343F1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r>
        <w:rPr>
          <w:rFonts w:cs="Arial"/>
        </w:rPr>
        <w:fldChar w:fldCharType="begin"/>
      </w:r>
      <w:r w:rsidR="004719FB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368924893" w:history="1">
        <w:r w:rsidR="00DD38BC" w:rsidRPr="0025084C">
          <w:rPr>
            <w:rStyle w:val="Hyperlink"/>
            <w:rFonts w:cs="Arial"/>
          </w:rPr>
          <w:t>1 Introduction</w:t>
        </w:r>
        <w:r w:rsidR="00DD38BC">
          <w:rPr>
            <w:webHidden/>
          </w:rPr>
          <w:tab/>
        </w:r>
        <w:r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4D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894" w:history="1">
        <w:r w:rsidR="00DD38BC" w:rsidRPr="0025084C">
          <w:rPr>
            <w:rStyle w:val="Hyperlink"/>
            <w:rFonts w:cs="Arial"/>
          </w:rPr>
          <w:t>2 Geometric description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_Toc368924894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2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895" w:history="1">
        <w:r w:rsidR="00DD38BC" w:rsidRPr="0025084C">
          <w:rPr>
            <w:rStyle w:val="Hyperlink"/>
            <w:rFonts w:cs="Arial"/>
          </w:rPr>
          <w:t>3 Description of available reference data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_Toc368924895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3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896" w:history="1">
        <w:r w:rsidR="00DD38BC" w:rsidRPr="0025084C">
          <w:rPr>
            <w:rStyle w:val="Hyperlink"/>
            <w:rFonts w:cs="Arial"/>
          </w:rPr>
          <w:t>4 Design and assessment parameters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_Toc368924896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4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897" w:history="1">
        <w:r w:rsidR="00DD38BC" w:rsidRPr="0025084C">
          <w:rPr>
            <w:rStyle w:val="Hyperlink"/>
            <w:rFonts w:cs="Arial"/>
          </w:rPr>
          <w:t>5 Description of errors and known uncertainties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_Toc368924897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4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898" w:history="1">
        <w:r w:rsidR="00DD38BC" w:rsidRPr="0025084C">
          <w:rPr>
            <w:rStyle w:val="Hyperlink"/>
            <w:rFonts w:cs="Arial"/>
          </w:rPr>
          <w:t>6 Physical phenomena and modelling challenges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_Toc368924898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4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899" w:history="1">
        <w:r w:rsidR="00DD38BC" w:rsidRPr="0025084C">
          <w:rPr>
            <w:rStyle w:val="Hyperlink"/>
            <w:rFonts w:cs="Arial"/>
          </w:rPr>
          <w:t>7 Relevant modelling techniques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_Toc368924899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4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0" w:history="1">
        <w:r w:rsidR="00DD38BC" w:rsidRPr="0025084C">
          <w:rPr>
            <w:rStyle w:val="Hyperlink"/>
            <w:rFonts w:cs="Arial"/>
          </w:rPr>
          <w:t>8 Flow and boundary conditions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_Toc368924900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5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1" w:history="1">
        <w:r w:rsidR="00DD38BC" w:rsidRPr="0025084C">
          <w:rPr>
            <w:rStyle w:val="Hyperlink"/>
            <w:rFonts w:cs="Arial"/>
            <w:lang w:val="fr-BE"/>
          </w:rPr>
          <w:t>9 Non-dimensional quantities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_Toc368924901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6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2" w:history="1">
        <w:r w:rsidR="00DD38BC" w:rsidRPr="0025084C">
          <w:rPr>
            <w:rStyle w:val="Hyperlink"/>
            <w:rFonts w:cs="Arial"/>
          </w:rPr>
          <w:t>10 Grids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_Toc368924902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6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3" w:history="1">
        <w:r w:rsidR="00DD38BC" w:rsidRPr="0025084C">
          <w:rPr>
            <w:rStyle w:val="Hyperlink"/>
            <w:rFonts w:cs="Arial"/>
          </w:rPr>
          <w:t>11 Computational guidelines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_Toc368924903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7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4" w:history="1">
        <w:r w:rsidR="00DD38BC" w:rsidRPr="0025084C">
          <w:rPr>
            <w:rStyle w:val="Hyperlink"/>
            <w:rFonts w:cs="Arial"/>
          </w:rPr>
          <w:t>12 Pre- and post-processing tools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_Toc368924904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7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5" w:history="1">
        <w:r w:rsidR="00DD38BC" w:rsidRPr="0025084C">
          <w:rPr>
            <w:rStyle w:val="Hyperlink"/>
            <w:rFonts w:cs="Arial"/>
          </w:rPr>
          <w:t>13 Mandatory and optional results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_Toc368924905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8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6" w:history="1">
        <w:r w:rsidR="00DD38BC" w:rsidRPr="0025084C">
          <w:rPr>
            <w:rStyle w:val="Hyperlink"/>
            <w:rFonts w:cs="Arial"/>
          </w:rPr>
          <w:t>14 Others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_Toc368924906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8</w:t>
        </w:r>
        <w:r w:rsidR="00C343F1">
          <w:rPr>
            <w:webHidden/>
          </w:rPr>
          <w:fldChar w:fldCharType="end"/>
        </w:r>
      </w:hyperlink>
    </w:p>
    <w:p w:rsidR="00DD38BC" w:rsidRDefault="005F00C2">
      <w:pPr>
        <w:pStyle w:val="Verzeichnis1"/>
        <w:rPr>
          <w:rFonts w:asciiTheme="minorHAnsi" w:eastAsiaTheme="minorEastAsia" w:hAnsiTheme="minorHAnsi" w:cstheme="minorBidi"/>
          <w:lang w:eastAsia="en-GB"/>
        </w:rPr>
      </w:pPr>
      <w:hyperlink w:anchor="_Toc368924907" w:history="1">
        <w:r w:rsidR="00DD38BC" w:rsidRPr="0025084C">
          <w:rPr>
            <w:rStyle w:val="Hyperlink"/>
            <w:rFonts w:cs="Arial"/>
          </w:rPr>
          <w:t>15 References</w:t>
        </w:r>
        <w:r w:rsidR="00DD38BC">
          <w:rPr>
            <w:webHidden/>
          </w:rPr>
          <w:tab/>
        </w:r>
        <w:r w:rsidR="00C343F1">
          <w:rPr>
            <w:webHidden/>
          </w:rPr>
          <w:fldChar w:fldCharType="begin"/>
        </w:r>
        <w:r w:rsidR="00DD38BC">
          <w:rPr>
            <w:webHidden/>
          </w:rPr>
          <w:instrText xml:space="preserve"> PAGEREF _Toc368924907 \h </w:instrText>
        </w:r>
        <w:r w:rsidR="00C343F1">
          <w:rPr>
            <w:webHidden/>
          </w:rPr>
        </w:r>
        <w:r w:rsidR="00C343F1">
          <w:rPr>
            <w:webHidden/>
          </w:rPr>
          <w:fldChar w:fldCharType="separate"/>
        </w:r>
        <w:r w:rsidR="00C074D7">
          <w:rPr>
            <w:webHidden/>
          </w:rPr>
          <w:t>8</w:t>
        </w:r>
        <w:r w:rsidR="00C343F1">
          <w:rPr>
            <w:webHidden/>
          </w:rPr>
          <w:fldChar w:fldCharType="end"/>
        </w:r>
      </w:hyperlink>
    </w:p>
    <w:p w:rsidR="004719FB" w:rsidRDefault="00C343F1">
      <w:pPr>
        <w:ind w:left="360"/>
        <w:jc w:val="center"/>
        <w:rPr>
          <w:rFonts w:cs="Arial"/>
        </w:rPr>
      </w:pPr>
      <w:r>
        <w:rPr>
          <w:rFonts w:cs="Arial"/>
        </w:rPr>
        <w:fldChar w:fldCharType="end"/>
      </w:r>
    </w:p>
    <w:p w:rsidR="004719FB" w:rsidRDefault="004719FB">
      <w:pPr>
        <w:ind w:left="360"/>
        <w:jc w:val="center"/>
        <w:rPr>
          <w:rFonts w:cs="Arial"/>
        </w:rPr>
      </w:pPr>
    </w:p>
    <w:p w:rsidR="004719FB" w:rsidRDefault="004719FB">
      <w:pPr>
        <w:ind w:left="360"/>
        <w:rPr>
          <w:rFonts w:cs="Arial"/>
        </w:rPr>
      </w:pPr>
    </w:p>
    <w:p w:rsidR="004719FB" w:rsidRDefault="004719FB">
      <w:pPr>
        <w:ind w:left="360"/>
        <w:jc w:val="center"/>
        <w:rPr>
          <w:rFonts w:cs="Arial"/>
        </w:rPr>
      </w:pPr>
    </w:p>
    <w:p w:rsidR="004719FB" w:rsidRDefault="004719FB">
      <w:pPr>
        <w:ind w:left="360"/>
        <w:jc w:val="center"/>
        <w:rPr>
          <w:rFonts w:cs="Arial"/>
        </w:rPr>
      </w:pPr>
    </w:p>
    <w:p w:rsidR="004719FB" w:rsidRDefault="004719FB">
      <w:pPr>
        <w:pStyle w:val="berschrift1"/>
        <w:spacing w:before="240"/>
        <w:rPr>
          <w:rFonts w:cs="Arial"/>
        </w:rPr>
      </w:pPr>
      <w:bookmarkStart w:id="0" w:name="_Toc368924893"/>
      <w:r>
        <w:rPr>
          <w:rFonts w:cs="Arial"/>
        </w:rPr>
        <w:t>1 Introduction</w:t>
      </w:r>
      <w:bookmarkEnd w:id="0"/>
    </w:p>
    <w:p w:rsidR="006C7A61" w:rsidRPr="006C7A61" w:rsidRDefault="006C7A61" w:rsidP="006C7A61"/>
    <w:p w:rsidR="00591DA6" w:rsidRDefault="00591DA6" w:rsidP="006C7A61">
      <w:r>
        <w:t xml:space="preserve">This test case </w:t>
      </w:r>
      <w:r w:rsidR="002E137C">
        <w:t>concerns the</w:t>
      </w:r>
      <w:r>
        <w:t xml:space="preserve"> study of a</w:t>
      </w:r>
      <w:r w:rsidR="002E137C">
        <w:t xml:space="preserve"> single-stream</w:t>
      </w:r>
      <w:r>
        <w:t xml:space="preserve"> unheated turbulent jet at </w:t>
      </w:r>
      <w:r w:rsidRPr="00454595">
        <w:t xml:space="preserve">M = 0.9. </w:t>
      </w:r>
      <w:r w:rsidR="003D26CC">
        <w:t>The case was studied extensive</w:t>
      </w:r>
      <w:r w:rsidR="00253B91">
        <w:t xml:space="preserve">ly in numerous CFD publications, </w:t>
      </w:r>
      <w:r w:rsidR="00637541">
        <w:t xml:space="preserve">e.g. </w:t>
      </w:r>
      <w:proofErr w:type="spellStart"/>
      <w:r w:rsidR="00637541">
        <w:t>Shur</w:t>
      </w:r>
      <w:proofErr w:type="spellEnd"/>
      <w:r w:rsidR="00637541">
        <w:t xml:space="preserve"> et al. (20</w:t>
      </w:r>
      <w:r w:rsidR="00E90DF7">
        <w:t>11</w:t>
      </w:r>
      <w:r w:rsidR="00637541">
        <w:t>)</w:t>
      </w:r>
      <w:r w:rsidR="00253B91">
        <w:t>,</w:t>
      </w:r>
      <w:r w:rsidR="00637541">
        <w:t xml:space="preserve"> </w:t>
      </w:r>
      <w:r w:rsidR="003D26CC">
        <w:t>and experiments</w:t>
      </w:r>
      <w:r w:rsidR="0098282A">
        <w:t xml:space="preserve">, e.g. </w:t>
      </w:r>
      <w:proofErr w:type="spellStart"/>
      <w:r w:rsidR="0098282A">
        <w:t>Viswanathan</w:t>
      </w:r>
      <w:proofErr w:type="spellEnd"/>
      <w:r w:rsidR="0098282A">
        <w:t xml:space="preserve"> (2004) and Bridges &amp; </w:t>
      </w:r>
      <w:proofErr w:type="spellStart"/>
      <w:r w:rsidR="0098282A">
        <w:t>Wernet</w:t>
      </w:r>
      <w:proofErr w:type="spellEnd"/>
      <w:r w:rsidR="0098282A">
        <w:t xml:space="preserve"> (201</w:t>
      </w:r>
      <w:r w:rsidR="009F4ACD">
        <w:t>0</w:t>
      </w:r>
      <w:r w:rsidR="0098282A">
        <w:t>)</w:t>
      </w:r>
      <w:r w:rsidR="003D26CC">
        <w:t>.</w:t>
      </w:r>
    </w:p>
    <w:p w:rsidR="00591DA6" w:rsidRDefault="00591DA6" w:rsidP="006C7A61">
      <w:r>
        <w:t xml:space="preserve"> </w:t>
      </w:r>
    </w:p>
    <w:p w:rsidR="004719FB" w:rsidRDefault="006C1256">
      <w:pPr>
        <w:pStyle w:val="berschrift1"/>
        <w:rPr>
          <w:rFonts w:cs="Arial"/>
        </w:rPr>
      </w:pPr>
      <w:bookmarkStart w:id="1" w:name="_Toc368924894"/>
      <w:r>
        <w:rPr>
          <w:rFonts w:cs="Arial"/>
        </w:rPr>
        <w:t>2</w:t>
      </w:r>
      <w:r w:rsidR="004719FB">
        <w:rPr>
          <w:rFonts w:cs="Arial"/>
        </w:rPr>
        <w:t xml:space="preserve"> Geometric description</w:t>
      </w:r>
      <w:bookmarkEnd w:id="1"/>
    </w:p>
    <w:p w:rsidR="006C7A61" w:rsidRPr="006C7A61" w:rsidRDefault="006C7A61" w:rsidP="006C7A61"/>
    <w:p w:rsidR="00041B06" w:rsidRDefault="002E137C" w:rsidP="00041B06">
      <w:pPr>
        <w:pStyle w:val="Textkrper2"/>
        <w:jc w:val="both"/>
        <w:rPr>
          <w:sz w:val="22"/>
        </w:rPr>
      </w:pPr>
      <w:r w:rsidRPr="0041050E">
        <w:rPr>
          <w:sz w:val="22"/>
          <w:szCs w:val="22"/>
        </w:rPr>
        <w:t xml:space="preserve">The jet emanates from a conical nozzle which was studied experimentally by </w:t>
      </w:r>
      <w:proofErr w:type="spellStart"/>
      <w:r w:rsidRPr="0041050E">
        <w:rPr>
          <w:sz w:val="22"/>
          <w:szCs w:val="22"/>
        </w:rPr>
        <w:t>Viswanathan</w:t>
      </w:r>
      <w:proofErr w:type="spellEnd"/>
      <w:r w:rsidRPr="0041050E">
        <w:rPr>
          <w:sz w:val="22"/>
          <w:szCs w:val="22"/>
        </w:rPr>
        <w:t xml:space="preserve"> (2004).</w:t>
      </w:r>
      <w:r>
        <w:t xml:space="preserve"> </w:t>
      </w:r>
      <w:r w:rsidR="00F14717">
        <w:rPr>
          <w:sz w:val="22"/>
        </w:rPr>
        <w:t xml:space="preserve">The nozzle </w:t>
      </w:r>
      <w:r w:rsidR="000E31CE">
        <w:rPr>
          <w:sz w:val="22"/>
        </w:rPr>
        <w:t>exhibits</w:t>
      </w:r>
      <w:r>
        <w:rPr>
          <w:sz w:val="22"/>
        </w:rPr>
        <w:t xml:space="preserve"> </w:t>
      </w:r>
      <w:r w:rsidR="00F14717">
        <w:rPr>
          <w:sz w:val="22"/>
        </w:rPr>
        <w:t xml:space="preserve">an exit diameter of D = 0.06223m. </w:t>
      </w:r>
      <w:r w:rsidR="00DE14DA">
        <w:rPr>
          <w:sz w:val="22"/>
        </w:rPr>
        <w:t xml:space="preserve">The computational domain chosen for this test case is depicted in Figure 1. </w:t>
      </w:r>
      <w:r w:rsidR="00EF4B5E">
        <w:rPr>
          <w:sz w:val="22"/>
        </w:rPr>
        <w:t>It extends from 10D upstream to 70D downstream of the nozzle exit.</w:t>
      </w:r>
      <w:r w:rsidR="00F815B2">
        <w:rPr>
          <w:sz w:val="22"/>
        </w:rPr>
        <w:t xml:space="preserve"> In the radial direction the outer radius varies from 15D in the vicinity of the nozzle to 30D at the domain outlet.</w:t>
      </w:r>
    </w:p>
    <w:p w:rsidR="00F33E94" w:rsidRDefault="00F33E94" w:rsidP="00041B06">
      <w:pPr>
        <w:pStyle w:val="Textkrper2"/>
        <w:jc w:val="both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06F1" w:rsidTr="004B06F1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4B06F1" w:rsidRDefault="004B06F1" w:rsidP="004B06F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20000" cy="1931429"/>
                  <wp:effectExtent l="19050" t="0" r="4350" b="0"/>
                  <wp:docPr id="22" name="Grafik 15" descr="Pic_do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domai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193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94" w:rsidTr="004B06F1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F33E94" w:rsidRPr="001C6355" w:rsidRDefault="00F33E94" w:rsidP="0062153B">
            <w:pPr>
              <w:rPr>
                <w:b/>
                <w:sz w:val="20"/>
              </w:rPr>
            </w:pPr>
            <w:r w:rsidRPr="001C6355">
              <w:rPr>
                <w:b/>
                <w:sz w:val="20"/>
              </w:rPr>
              <w:t xml:space="preserve">Figure </w:t>
            </w:r>
            <w:r>
              <w:rPr>
                <w:b/>
                <w:sz w:val="20"/>
              </w:rPr>
              <w:t>1</w:t>
            </w:r>
            <w:r w:rsidRPr="001C6355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6D7164">
              <w:rPr>
                <w:sz w:val="20"/>
              </w:rPr>
              <w:t>View of computational domain</w:t>
            </w:r>
            <w:r w:rsidR="00433BCB">
              <w:rPr>
                <w:sz w:val="20"/>
              </w:rPr>
              <w:t xml:space="preserve"> (half model)</w:t>
            </w:r>
            <w:r w:rsidR="006D7164">
              <w:rPr>
                <w:sz w:val="20"/>
              </w:rPr>
              <w:t xml:space="preserve"> /</w:t>
            </w:r>
            <w:r w:rsidR="00AE7A21">
              <w:rPr>
                <w:sz w:val="20"/>
              </w:rPr>
              <w:t xml:space="preserve"> </w:t>
            </w:r>
            <w:r w:rsidR="0062153B">
              <w:rPr>
                <w:sz w:val="20"/>
              </w:rPr>
              <w:t>grid G1 (see Table 2)</w:t>
            </w:r>
            <w:r w:rsidR="00AE7A21">
              <w:rPr>
                <w:sz w:val="20"/>
              </w:rPr>
              <w:t>.</w:t>
            </w:r>
            <w:r w:rsidR="00C66AF7">
              <w:rPr>
                <w:sz w:val="20"/>
              </w:rPr>
              <w:t xml:space="preserve"> Nozzle is highlighted in red.</w:t>
            </w:r>
          </w:p>
        </w:tc>
      </w:tr>
    </w:tbl>
    <w:p w:rsidR="00F33E94" w:rsidRDefault="00F33E94" w:rsidP="00041B06">
      <w:pPr>
        <w:pStyle w:val="Textkrper2"/>
        <w:jc w:val="both"/>
        <w:rPr>
          <w:sz w:val="22"/>
        </w:rPr>
      </w:pPr>
    </w:p>
    <w:p w:rsidR="00E80473" w:rsidRDefault="00E80473">
      <w:pPr>
        <w:pStyle w:val="berschrift1"/>
        <w:rPr>
          <w:rFonts w:cs="Arial"/>
        </w:rPr>
      </w:pPr>
      <w:bookmarkStart w:id="2" w:name="_Toc368924895"/>
    </w:p>
    <w:p w:rsidR="004719FB" w:rsidRDefault="006C1256">
      <w:pPr>
        <w:pStyle w:val="berschrift1"/>
        <w:rPr>
          <w:rFonts w:cs="Arial"/>
        </w:rPr>
      </w:pPr>
      <w:r>
        <w:rPr>
          <w:rFonts w:cs="Arial"/>
        </w:rPr>
        <w:t>3</w:t>
      </w:r>
      <w:r w:rsidR="004719FB">
        <w:rPr>
          <w:rFonts w:cs="Arial"/>
        </w:rPr>
        <w:t xml:space="preserve"> Description of available reference data</w:t>
      </w:r>
      <w:bookmarkEnd w:id="2"/>
    </w:p>
    <w:p w:rsidR="004719FB" w:rsidRDefault="004719FB">
      <w:pPr>
        <w:rPr>
          <w:rFonts w:cs="Arial"/>
        </w:rPr>
      </w:pPr>
    </w:p>
    <w:p w:rsidR="00853DAA" w:rsidRDefault="00950438" w:rsidP="001E5BC6">
      <w:pPr>
        <w:rPr>
          <w:lang w:val="en-US"/>
        </w:rPr>
      </w:pPr>
      <w:r>
        <w:rPr>
          <w:lang w:val="en-US"/>
        </w:rPr>
        <w:t>To assess the</w:t>
      </w:r>
      <w:r w:rsidR="00201A45">
        <w:rPr>
          <w:lang w:val="en-US"/>
        </w:rPr>
        <w:t xml:space="preserve"> predictive accuracy regarding</w:t>
      </w:r>
      <w:r>
        <w:rPr>
          <w:lang w:val="en-US"/>
        </w:rPr>
        <w:t xml:space="preserve"> aerodynamic</w:t>
      </w:r>
      <w:r w:rsidR="00201A45">
        <w:rPr>
          <w:lang w:val="en-US"/>
        </w:rPr>
        <w:t xml:space="preserve"> quantities</w:t>
      </w:r>
      <w:r>
        <w:rPr>
          <w:lang w:val="en-US"/>
        </w:rPr>
        <w:t>, a variety of different experimental data is available.</w:t>
      </w:r>
      <w:r w:rsidR="00295B1E">
        <w:rPr>
          <w:lang w:val="en-US"/>
        </w:rPr>
        <w:t xml:space="preserve"> In Bridges </w:t>
      </w:r>
      <w:r w:rsidR="005146E9">
        <w:rPr>
          <w:lang w:val="en-US"/>
        </w:rPr>
        <w:t xml:space="preserve">and </w:t>
      </w:r>
      <w:proofErr w:type="spellStart"/>
      <w:r w:rsidR="005146E9">
        <w:rPr>
          <w:lang w:val="en-US"/>
        </w:rPr>
        <w:t>Wernet</w:t>
      </w:r>
      <w:proofErr w:type="spellEnd"/>
      <w:r w:rsidR="00295B1E">
        <w:rPr>
          <w:lang w:val="en-US"/>
        </w:rPr>
        <w:t xml:space="preserve"> (2010), different experimental data sets</w:t>
      </w:r>
      <w:r w:rsidR="00853DAA">
        <w:rPr>
          <w:lang w:val="en-US"/>
        </w:rPr>
        <w:t xml:space="preserve"> published in literature</w:t>
      </w:r>
      <w:r w:rsidR="00295B1E">
        <w:rPr>
          <w:lang w:val="en-US"/>
        </w:rPr>
        <w:t xml:space="preserve"> are evaluated and a </w:t>
      </w:r>
      <w:r w:rsidR="00F31E5C">
        <w:rPr>
          <w:lang w:val="en-US"/>
        </w:rPr>
        <w:t>“</w:t>
      </w:r>
      <w:r w:rsidR="00295B1E">
        <w:rPr>
          <w:lang w:val="en-US"/>
        </w:rPr>
        <w:t>consensus</w:t>
      </w:r>
      <w:r w:rsidR="00F31E5C">
        <w:rPr>
          <w:lang w:val="en-US"/>
        </w:rPr>
        <w:t>”</w:t>
      </w:r>
      <w:r w:rsidR="00295B1E">
        <w:rPr>
          <w:lang w:val="en-US"/>
        </w:rPr>
        <w:t xml:space="preserve"> data set is proposed</w:t>
      </w:r>
      <w:r w:rsidR="00815208">
        <w:rPr>
          <w:lang w:val="en-US"/>
        </w:rPr>
        <w:t xml:space="preserve"> </w:t>
      </w:r>
      <w:r w:rsidR="00194B44">
        <w:rPr>
          <w:lang w:val="en-US"/>
        </w:rPr>
        <w:t>which</w:t>
      </w:r>
      <w:r w:rsidR="00815208">
        <w:rPr>
          <w:lang w:val="en-US"/>
        </w:rPr>
        <w:t xml:space="preserve"> is used as benchmark data</w:t>
      </w:r>
      <w:r w:rsidR="00BE64FB">
        <w:rPr>
          <w:lang w:val="en-US"/>
        </w:rPr>
        <w:t xml:space="preserve"> </w:t>
      </w:r>
      <w:r w:rsidR="00F44B77">
        <w:rPr>
          <w:lang w:val="en-US"/>
        </w:rPr>
        <w:t xml:space="preserve">for this test case </w:t>
      </w:r>
      <w:r w:rsidR="00BE64FB">
        <w:rPr>
          <w:lang w:val="en-US"/>
        </w:rPr>
        <w:t>i</w:t>
      </w:r>
      <w:r w:rsidR="00815208">
        <w:rPr>
          <w:lang w:val="en-US"/>
        </w:rPr>
        <w:t>n Go4Hybrid</w:t>
      </w:r>
      <w:r w:rsidR="00E9369C">
        <w:rPr>
          <w:lang w:val="en-US"/>
        </w:rPr>
        <w:t>. The following quantities are provided</w:t>
      </w:r>
      <w:r w:rsidR="00853DAA">
        <w:rPr>
          <w:lang w:val="en-US"/>
        </w:rPr>
        <w:t>:</w:t>
      </w:r>
    </w:p>
    <w:p w:rsidR="00853DAA" w:rsidRDefault="00853DAA" w:rsidP="00853DAA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Mean velocity U/U</w:t>
      </w:r>
      <w:r w:rsidRPr="00853DAA">
        <w:rPr>
          <w:vertAlign w:val="subscript"/>
          <w:lang w:val="en-US"/>
        </w:rPr>
        <w:t>jet</w:t>
      </w:r>
      <w:r w:rsidR="00C6019F">
        <w:rPr>
          <w:lang w:val="en-US"/>
        </w:rPr>
        <w:t xml:space="preserve"> on centerline</w:t>
      </w:r>
    </w:p>
    <w:p w:rsidR="00853DAA" w:rsidRDefault="00853DAA" w:rsidP="00853DAA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Mean velocity U/U</w:t>
      </w:r>
      <w:r w:rsidRPr="00853DAA">
        <w:rPr>
          <w:vertAlign w:val="subscript"/>
          <w:lang w:val="en-US"/>
        </w:rPr>
        <w:t>jet</w:t>
      </w:r>
      <w:r>
        <w:rPr>
          <w:lang w:val="en-US"/>
        </w:rPr>
        <w:t xml:space="preserve"> along the lip line (r/D = 0.5)</w:t>
      </w:r>
    </w:p>
    <w:p w:rsidR="00853DAA" w:rsidRDefault="004C383C" w:rsidP="00853DAA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RMS(u’) on centerline and along the lip line</w:t>
      </w:r>
    </w:p>
    <w:p w:rsidR="008316FE" w:rsidRDefault="008316FE" w:rsidP="00853DAA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Profiles of U and RMS(u’) at different </w:t>
      </w:r>
      <w:proofErr w:type="spellStart"/>
      <w:r>
        <w:rPr>
          <w:lang w:val="en-US"/>
        </w:rPr>
        <w:t>streamwise</w:t>
      </w:r>
      <w:proofErr w:type="spellEnd"/>
      <w:r>
        <w:rPr>
          <w:lang w:val="en-US"/>
        </w:rPr>
        <w:t xml:space="preserve"> locations</w:t>
      </w:r>
    </w:p>
    <w:p w:rsidR="008316FE" w:rsidRDefault="008316FE" w:rsidP="008316FE">
      <w:pPr>
        <w:pStyle w:val="Listenabsatz"/>
        <w:ind w:left="765"/>
        <w:rPr>
          <w:lang w:val="en-US"/>
        </w:rPr>
      </w:pPr>
      <w:proofErr w:type="gramStart"/>
      <w:r>
        <w:rPr>
          <w:lang w:val="en-US"/>
        </w:rPr>
        <w:t>x/D</w:t>
      </w:r>
      <w:proofErr w:type="gramEnd"/>
      <w:r>
        <w:rPr>
          <w:lang w:val="en-US"/>
        </w:rPr>
        <w:t xml:space="preserve"> = 4.0, 8.0, 12.0 and 16.0</w:t>
      </w:r>
    </w:p>
    <w:p w:rsidR="00815208" w:rsidRDefault="00815208" w:rsidP="00E0388A">
      <w:pPr>
        <w:rPr>
          <w:lang w:val="en-US"/>
        </w:rPr>
      </w:pPr>
    </w:p>
    <w:p w:rsidR="00E0388A" w:rsidRDefault="00D97575" w:rsidP="00E0388A">
      <w:pPr>
        <w:rPr>
          <w:lang w:val="en-US"/>
        </w:rPr>
      </w:pPr>
      <w:r>
        <w:rPr>
          <w:lang w:val="en-US"/>
        </w:rPr>
        <w:t>A</w:t>
      </w:r>
      <w:r w:rsidR="00E0388A">
        <w:rPr>
          <w:lang w:val="en-US"/>
        </w:rPr>
        <w:t>dditional data sets</w:t>
      </w:r>
      <w:r w:rsidR="00CD3F0C">
        <w:rPr>
          <w:lang w:val="en-US"/>
        </w:rPr>
        <w:t xml:space="preserve"> from different publications</w:t>
      </w:r>
      <w:r w:rsidR="00E0388A">
        <w:rPr>
          <w:lang w:val="en-US"/>
        </w:rPr>
        <w:t xml:space="preserve"> are pro</w:t>
      </w:r>
      <w:r w:rsidR="00E04393">
        <w:rPr>
          <w:lang w:val="en-US"/>
        </w:rPr>
        <w:t>vided to the Go4Hybrid partners</w:t>
      </w:r>
      <w:r w:rsidR="00E0388A">
        <w:rPr>
          <w:lang w:val="en-US"/>
        </w:rPr>
        <w:t>:</w:t>
      </w:r>
    </w:p>
    <w:p w:rsidR="00877AA8" w:rsidRDefault="00877AA8" w:rsidP="00877AA8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>From Lau et al. (19</w:t>
      </w:r>
      <w:r w:rsidR="0079359E">
        <w:rPr>
          <w:lang w:val="en-US"/>
        </w:rPr>
        <w:t>79</w:t>
      </w:r>
      <w:r w:rsidR="001C3956">
        <w:rPr>
          <w:lang w:val="en-US"/>
        </w:rPr>
        <w:t>) and (1981)</w:t>
      </w:r>
      <w:r>
        <w:rPr>
          <w:lang w:val="en-US"/>
        </w:rPr>
        <w:t>:</w:t>
      </w:r>
    </w:p>
    <w:p w:rsidR="00A06183" w:rsidRDefault="00A06183" w:rsidP="00A06183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Mean velocity U/U</w:t>
      </w:r>
      <w:r w:rsidRPr="00853DAA">
        <w:rPr>
          <w:vertAlign w:val="subscript"/>
          <w:lang w:val="en-US"/>
        </w:rPr>
        <w:t>jet</w:t>
      </w:r>
      <w:r>
        <w:rPr>
          <w:lang w:val="en-US"/>
        </w:rPr>
        <w:t xml:space="preserve"> on centerline</w:t>
      </w:r>
    </w:p>
    <w:p w:rsidR="0041712B" w:rsidRDefault="0041712B" w:rsidP="00A06183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RMS(u’) on centerline</w:t>
      </w:r>
    </w:p>
    <w:p w:rsidR="007A5CCD" w:rsidRPr="00A06183" w:rsidRDefault="007A5CCD" w:rsidP="00A06183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Peak values of u’, v’ and &lt;</w:t>
      </w:r>
      <w:proofErr w:type="spellStart"/>
      <w:r>
        <w:rPr>
          <w:lang w:val="en-US"/>
        </w:rPr>
        <w:t>u’v</w:t>
      </w:r>
      <w:proofErr w:type="spellEnd"/>
      <w:r>
        <w:rPr>
          <w:lang w:val="en-US"/>
        </w:rPr>
        <w:t xml:space="preserve">’&gt; in radial direction </w:t>
      </w:r>
      <w:r w:rsidR="00C7748C">
        <w:rPr>
          <w:lang w:val="en-US"/>
        </w:rPr>
        <w:t>plotted over x/D</w:t>
      </w:r>
    </w:p>
    <w:p w:rsidR="00877AA8" w:rsidRDefault="00877AA8" w:rsidP="00877AA8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Arakeri</w:t>
      </w:r>
      <w:proofErr w:type="spellEnd"/>
      <w:r>
        <w:rPr>
          <w:lang w:val="en-US"/>
        </w:rPr>
        <w:t xml:space="preserve"> et al. (2003):</w:t>
      </w:r>
    </w:p>
    <w:p w:rsidR="00A06183" w:rsidRDefault="00A06183" w:rsidP="00A06183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Mean velocity U/U</w:t>
      </w:r>
      <w:r w:rsidRPr="00853DAA">
        <w:rPr>
          <w:vertAlign w:val="subscript"/>
          <w:lang w:val="en-US"/>
        </w:rPr>
        <w:t>jet</w:t>
      </w:r>
      <w:r>
        <w:rPr>
          <w:lang w:val="en-US"/>
        </w:rPr>
        <w:t xml:space="preserve"> on centerline</w:t>
      </w:r>
    </w:p>
    <w:p w:rsidR="00C95D84" w:rsidRDefault="00C95D84" w:rsidP="00C95D84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RMS(u’) on centerline</w:t>
      </w:r>
    </w:p>
    <w:p w:rsidR="00282ECD" w:rsidRPr="00282ECD" w:rsidRDefault="00282ECD" w:rsidP="00282ECD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Peak values of u’, v’ and &lt;</w:t>
      </w:r>
      <w:proofErr w:type="spellStart"/>
      <w:r>
        <w:rPr>
          <w:lang w:val="en-US"/>
        </w:rPr>
        <w:t>u’v</w:t>
      </w:r>
      <w:proofErr w:type="spellEnd"/>
      <w:r>
        <w:rPr>
          <w:lang w:val="en-US"/>
        </w:rPr>
        <w:t xml:space="preserve">’&gt; in radial direction </w:t>
      </w:r>
      <w:r w:rsidR="00C7748C">
        <w:rPr>
          <w:lang w:val="en-US"/>
        </w:rPr>
        <w:t>plotted over x/D</w:t>
      </w:r>
    </w:p>
    <w:p w:rsidR="00877AA8" w:rsidRDefault="00877AA8" w:rsidP="00877AA8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Simonich</w:t>
      </w:r>
      <w:proofErr w:type="spellEnd"/>
      <w:r>
        <w:rPr>
          <w:lang w:val="en-US"/>
        </w:rPr>
        <w:t xml:space="preserve"> et al. (2001</w:t>
      </w:r>
      <w:r w:rsidR="005365DD">
        <w:rPr>
          <w:lang w:val="en-US"/>
        </w:rPr>
        <w:t>)</w:t>
      </w:r>
      <w:r>
        <w:rPr>
          <w:lang w:val="en-US"/>
        </w:rPr>
        <w:t>:</w:t>
      </w:r>
    </w:p>
    <w:p w:rsidR="00A06183" w:rsidRDefault="00A06183" w:rsidP="008E3859">
      <w:pPr>
        <w:pStyle w:val="Listenabsatz"/>
        <w:numPr>
          <w:ilvl w:val="1"/>
          <w:numId w:val="25"/>
        </w:numPr>
        <w:rPr>
          <w:lang w:val="en-US"/>
        </w:rPr>
      </w:pPr>
      <w:r>
        <w:rPr>
          <w:lang w:val="en-US"/>
        </w:rPr>
        <w:t>Mean velocity U/U</w:t>
      </w:r>
      <w:r w:rsidRPr="00853DAA">
        <w:rPr>
          <w:vertAlign w:val="subscript"/>
          <w:lang w:val="en-US"/>
        </w:rPr>
        <w:t>jet</w:t>
      </w:r>
      <w:r>
        <w:rPr>
          <w:lang w:val="en-US"/>
        </w:rPr>
        <w:t xml:space="preserve"> on centerline</w:t>
      </w:r>
    </w:p>
    <w:p w:rsidR="00252686" w:rsidRDefault="00252686" w:rsidP="00252686">
      <w:pPr>
        <w:rPr>
          <w:lang w:val="en-US"/>
        </w:rPr>
      </w:pPr>
    </w:p>
    <w:p w:rsidR="00252686" w:rsidRPr="00252686" w:rsidRDefault="00252686" w:rsidP="00252686">
      <w:pPr>
        <w:rPr>
          <w:lang w:val="en-US"/>
        </w:rPr>
      </w:pPr>
      <w:r>
        <w:rPr>
          <w:lang w:val="en-US"/>
        </w:rPr>
        <w:t xml:space="preserve">For illustrative purposes some of the data is </w:t>
      </w:r>
      <w:r w:rsidR="00907315">
        <w:rPr>
          <w:lang w:val="en-US"/>
        </w:rPr>
        <w:t>plotted in Figure 2.</w:t>
      </w:r>
    </w:p>
    <w:p w:rsidR="008E3859" w:rsidRPr="008E3859" w:rsidRDefault="008E3859" w:rsidP="008E3859">
      <w:pPr>
        <w:pStyle w:val="Listenabsatz"/>
        <w:ind w:left="144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A41DD5" w:rsidTr="004B06F1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A41DD5" w:rsidRDefault="00A41DD5" w:rsidP="004B06F1">
            <w:pPr>
              <w:jc w:val="center"/>
            </w:pPr>
            <w:r w:rsidRPr="000C1799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12F5E79D" wp14:editId="7EC3200A">
                  <wp:extent cx="2520000" cy="1764000"/>
                  <wp:effectExtent l="0" t="0" r="0" b="8255"/>
                  <wp:docPr id="1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U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41DD5" w:rsidRDefault="00A41DD5" w:rsidP="004B06F1">
            <w:pPr>
              <w:jc w:val="center"/>
            </w:pPr>
            <w:r w:rsidRPr="000C1799">
              <w:rPr>
                <w:noProof/>
                <w:lang w:val="en-US" w:eastAsia="en-US"/>
              </w:rPr>
              <w:drawing>
                <wp:inline distT="0" distB="0" distL="0" distR="0" wp14:anchorId="1EB10DB4" wp14:editId="096785CA">
                  <wp:extent cx="2520000" cy="1764000"/>
                  <wp:effectExtent l="0" t="0" r="0" b="8255"/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urms_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DD5" w:rsidTr="004B06F1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DD5" w:rsidRPr="001C6355" w:rsidRDefault="00A41DD5" w:rsidP="000E1B52">
            <w:pPr>
              <w:rPr>
                <w:b/>
                <w:sz w:val="20"/>
              </w:rPr>
            </w:pPr>
            <w:r w:rsidRPr="001C6355">
              <w:rPr>
                <w:b/>
                <w:sz w:val="20"/>
              </w:rPr>
              <w:t xml:space="preserve">Figure </w:t>
            </w:r>
            <w:r>
              <w:rPr>
                <w:b/>
                <w:sz w:val="20"/>
              </w:rPr>
              <w:t>2</w:t>
            </w:r>
            <w:r w:rsidRPr="001C6355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C</w:t>
            </w:r>
            <w:r w:rsidRPr="001C6355">
              <w:rPr>
                <w:sz w:val="20"/>
              </w:rPr>
              <w:t>ross-plot</w:t>
            </w:r>
            <w:r>
              <w:rPr>
                <w:sz w:val="20"/>
              </w:rPr>
              <w:t>s</w:t>
            </w:r>
            <w:r w:rsidRPr="001C6355">
              <w:rPr>
                <w:sz w:val="20"/>
              </w:rPr>
              <w:t xml:space="preserve"> of experimental </w:t>
            </w:r>
            <w:r w:rsidR="000E1B52">
              <w:rPr>
                <w:sz w:val="20"/>
              </w:rPr>
              <w:t>data</w:t>
            </w:r>
            <w:r w:rsidRPr="001C6355">
              <w:rPr>
                <w:sz w:val="20"/>
              </w:rPr>
              <w:t>, mean and RMS velocity distribution along centreline</w:t>
            </w:r>
            <w:r>
              <w:rPr>
                <w:sz w:val="20"/>
              </w:rPr>
              <w:t xml:space="preserve"> (r/D = 0).</w:t>
            </w:r>
          </w:p>
        </w:tc>
      </w:tr>
    </w:tbl>
    <w:p w:rsidR="00EB15D0" w:rsidRDefault="00EB15D0" w:rsidP="001E5BC6">
      <w:pPr>
        <w:rPr>
          <w:lang w:val="en-US"/>
        </w:rPr>
      </w:pPr>
    </w:p>
    <w:p w:rsidR="0092398D" w:rsidRDefault="0092398D" w:rsidP="001E5BC6">
      <w:pPr>
        <w:rPr>
          <w:lang w:val="en-US"/>
        </w:rPr>
      </w:pPr>
      <w:r>
        <w:rPr>
          <w:lang w:val="en-US"/>
        </w:rPr>
        <w:t>Additionally, acoustic</w:t>
      </w:r>
      <w:r w:rsidR="00302A98">
        <w:rPr>
          <w:lang w:val="en-US"/>
        </w:rPr>
        <w:t xml:space="preserve"> (farfield)</w:t>
      </w:r>
      <w:r>
        <w:rPr>
          <w:lang w:val="en-US"/>
        </w:rPr>
        <w:t xml:space="preserve"> data from the experiment of </w:t>
      </w:r>
      <w:proofErr w:type="spellStart"/>
      <w:r>
        <w:rPr>
          <w:lang w:val="en-US"/>
        </w:rPr>
        <w:t>Viswanathan</w:t>
      </w:r>
      <w:proofErr w:type="spellEnd"/>
      <w:r>
        <w:rPr>
          <w:lang w:val="en-US"/>
        </w:rPr>
        <w:t xml:space="preserve"> (2004) is available</w:t>
      </w:r>
      <w:r w:rsidR="002208FA">
        <w:rPr>
          <w:lang w:val="en-US"/>
        </w:rPr>
        <w:t xml:space="preserve"> and can be provided to the Go4Hybrid partners. This data set includes</w:t>
      </w:r>
      <w:r>
        <w:rPr>
          <w:lang w:val="en-US"/>
        </w:rPr>
        <w:t>:</w:t>
      </w:r>
    </w:p>
    <w:p w:rsidR="001C1A80" w:rsidRDefault="00AE680C" w:rsidP="001C1A80">
      <w:pPr>
        <w:pStyle w:val="Listenabsatz"/>
        <w:numPr>
          <w:ilvl w:val="0"/>
          <w:numId w:val="23"/>
        </w:numPr>
        <w:rPr>
          <w:lang w:val="en-US"/>
        </w:rPr>
      </w:pPr>
      <w:r w:rsidRPr="00C92BA5">
        <w:rPr>
          <w:lang w:val="en-US"/>
        </w:rPr>
        <w:t>Farfield</w:t>
      </w:r>
      <w:r w:rsidR="001C1A80" w:rsidRPr="00C92BA5">
        <w:rPr>
          <w:lang w:val="en-US"/>
        </w:rPr>
        <w:t xml:space="preserve"> sound pressure level for an observer distance of r/D=98. </w:t>
      </w:r>
      <w:r w:rsidR="00C92BA5" w:rsidRPr="00C92BA5">
        <w:rPr>
          <w:lang w:val="en-US"/>
        </w:rPr>
        <w:t>Available o</w:t>
      </w:r>
      <w:r w:rsidR="001C1A80" w:rsidRPr="00C92BA5">
        <w:rPr>
          <w:lang w:val="en-US"/>
        </w:rPr>
        <w:t>bserver angles are:</w:t>
      </w:r>
      <w:r w:rsidR="00C92BA5">
        <w:rPr>
          <w:lang w:val="en-US"/>
        </w:rPr>
        <w:t xml:space="preserve"> </w:t>
      </w:r>
      <w:r w:rsidR="001C1A80" w:rsidRPr="00C92BA5">
        <w:rPr>
          <w:rFonts w:cs="Arial"/>
          <w:lang w:val="en-US"/>
        </w:rPr>
        <w:t xml:space="preserve">Θ </w:t>
      </w:r>
      <w:r w:rsidR="001C1A80" w:rsidRPr="00C92BA5">
        <w:rPr>
          <w:lang w:val="en-US"/>
        </w:rPr>
        <w:t>= 50°, 90°, 130°, 150°</w:t>
      </w:r>
    </w:p>
    <w:p w:rsidR="0092398D" w:rsidRPr="001A52BE" w:rsidRDefault="00CC3251" w:rsidP="001E5BC6">
      <w:pPr>
        <w:pStyle w:val="Listenabsatz"/>
        <w:numPr>
          <w:ilvl w:val="0"/>
          <w:numId w:val="23"/>
        </w:numPr>
        <w:rPr>
          <w:lang w:val="en-US"/>
        </w:rPr>
      </w:pPr>
      <w:r>
        <w:rPr>
          <w:lang w:val="en-US"/>
        </w:rPr>
        <w:t>O</w:t>
      </w:r>
      <w:r w:rsidR="00AE680C">
        <w:rPr>
          <w:lang w:val="en-US"/>
        </w:rPr>
        <w:t>ASPL for different ob</w:t>
      </w:r>
      <w:r w:rsidR="001A52BE" w:rsidRPr="001A52BE">
        <w:rPr>
          <w:lang w:val="en-US"/>
        </w:rPr>
        <w:t>server angles 50°</w:t>
      </w:r>
      <w:r w:rsidR="0074236E">
        <w:rPr>
          <w:lang w:val="en-US"/>
        </w:rPr>
        <w:t xml:space="preserve"> </w:t>
      </w:r>
      <w:r w:rsidR="0074236E">
        <w:rPr>
          <w:rFonts w:cs="Arial"/>
          <w:lang w:val="en-US"/>
        </w:rPr>
        <w:t>≤</w:t>
      </w:r>
      <w:r w:rsidR="001A52BE" w:rsidRPr="001A52BE">
        <w:rPr>
          <w:lang w:val="en-US"/>
        </w:rPr>
        <w:t xml:space="preserve"> </w:t>
      </w:r>
      <w:r w:rsidR="001A52BE" w:rsidRPr="001A52BE">
        <w:rPr>
          <w:rFonts w:cs="Arial"/>
          <w:lang w:val="en-US"/>
        </w:rPr>
        <w:t xml:space="preserve">Θ </w:t>
      </w:r>
      <w:r w:rsidR="0074236E">
        <w:rPr>
          <w:rFonts w:cs="Arial"/>
          <w:lang w:val="en-US"/>
        </w:rPr>
        <w:t>≤</w:t>
      </w:r>
      <w:r w:rsidR="001A52BE" w:rsidRPr="001A52BE">
        <w:rPr>
          <w:lang w:val="en-US"/>
        </w:rPr>
        <w:t xml:space="preserve"> 155°</w:t>
      </w:r>
      <w:r w:rsidR="001A52BE">
        <w:rPr>
          <w:lang w:val="en-US"/>
        </w:rPr>
        <w:t>.</w:t>
      </w:r>
    </w:p>
    <w:p w:rsidR="001E5BC6" w:rsidRDefault="001E5BC6">
      <w:pPr>
        <w:pStyle w:val="berschrift1"/>
        <w:rPr>
          <w:rFonts w:cs="Arial"/>
        </w:rPr>
      </w:pPr>
    </w:p>
    <w:p w:rsidR="004719FB" w:rsidRDefault="006C1256">
      <w:pPr>
        <w:pStyle w:val="berschrift1"/>
        <w:rPr>
          <w:rFonts w:cs="Arial"/>
        </w:rPr>
      </w:pPr>
      <w:bookmarkStart w:id="3" w:name="_Toc368924896"/>
      <w:r>
        <w:rPr>
          <w:rFonts w:cs="Arial"/>
        </w:rPr>
        <w:t>4</w:t>
      </w:r>
      <w:r w:rsidR="004719FB">
        <w:rPr>
          <w:rFonts w:cs="Arial"/>
        </w:rPr>
        <w:t xml:space="preserve"> Design and assessment parameters</w:t>
      </w:r>
      <w:bookmarkEnd w:id="3"/>
    </w:p>
    <w:p w:rsidR="004719FB" w:rsidRDefault="004719FB">
      <w:pPr>
        <w:rPr>
          <w:rFonts w:cs="Arial"/>
        </w:rPr>
      </w:pPr>
    </w:p>
    <w:p w:rsidR="004719FB" w:rsidRDefault="00FF0CD1">
      <w:pPr>
        <w:jc w:val="both"/>
        <w:rPr>
          <w:rFonts w:cs="Arial"/>
        </w:rPr>
      </w:pPr>
      <w:r>
        <w:rPr>
          <w:rFonts w:cs="Arial"/>
        </w:rPr>
        <w:t>Important quantities for practical applications include the potential core length and the far-field OASPL.</w:t>
      </w:r>
    </w:p>
    <w:p w:rsidR="004719FB" w:rsidRDefault="004719FB">
      <w:pPr>
        <w:pStyle w:val="berschrift1"/>
        <w:rPr>
          <w:rFonts w:cs="Arial"/>
        </w:rPr>
      </w:pPr>
    </w:p>
    <w:p w:rsidR="004719FB" w:rsidRDefault="006C1256">
      <w:pPr>
        <w:pStyle w:val="berschrift1"/>
        <w:rPr>
          <w:rFonts w:cs="Arial"/>
        </w:rPr>
      </w:pPr>
      <w:bookmarkStart w:id="4" w:name="_Toc368924897"/>
      <w:r>
        <w:rPr>
          <w:rFonts w:cs="Arial"/>
        </w:rPr>
        <w:t>5</w:t>
      </w:r>
      <w:r w:rsidR="004719FB">
        <w:rPr>
          <w:rFonts w:cs="Arial"/>
        </w:rPr>
        <w:t xml:space="preserve"> Description of errors and known uncertainties</w:t>
      </w:r>
      <w:bookmarkEnd w:id="4"/>
    </w:p>
    <w:p w:rsidR="004719FB" w:rsidRDefault="004719FB">
      <w:pPr>
        <w:jc w:val="both"/>
        <w:rPr>
          <w:rFonts w:cs="Arial"/>
        </w:rPr>
      </w:pPr>
    </w:p>
    <w:p w:rsidR="005B0983" w:rsidRPr="00EC026F" w:rsidRDefault="005B0983" w:rsidP="005B0983">
      <w:r>
        <w:t xml:space="preserve">There is significant discrepancy between the centreline </w:t>
      </w:r>
      <w:proofErr w:type="spellStart"/>
      <w:proofErr w:type="gramStart"/>
      <w:r>
        <w:t>rms</w:t>
      </w:r>
      <w:proofErr w:type="spellEnd"/>
      <w:r>
        <w:t>(</w:t>
      </w:r>
      <w:proofErr w:type="gramEnd"/>
      <w:r>
        <w:t xml:space="preserve">u) values measured in different experiments (see e.g. Figure 2, </w:t>
      </w:r>
      <w:r w:rsidR="00504CA6">
        <w:t>right</w:t>
      </w:r>
      <w:r>
        <w:t>). Apart from the lower values being supported by two data sets and the higher values by only one set, there is no reason a priori to trust one data set over another.</w:t>
      </w:r>
    </w:p>
    <w:p w:rsidR="005B0983" w:rsidRDefault="005B0983">
      <w:pPr>
        <w:pStyle w:val="berschrift1"/>
        <w:rPr>
          <w:rFonts w:cs="Arial"/>
          <w:b w:val="0"/>
          <w:sz w:val="22"/>
          <w:szCs w:val="22"/>
        </w:rPr>
      </w:pPr>
    </w:p>
    <w:p w:rsidR="0079359E" w:rsidRDefault="00371395">
      <w:pPr>
        <w:pStyle w:val="berschrift1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In Lau et al. (1979), a large amount of data was published which was acquired via LDA-based measurements. </w:t>
      </w:r>
      <w:r w:rsidR="00BD61E0">
        <w:rPr>
          <w:rFonts w:cs="Arial"/>
          <w:b w:val="0"/>
          <w:sz w:val="22"/>
          <w:szCs w:val="22"/>
        </w:rPr>
        <w:t xml:space="preserve">In the subsequent work of Lau et al. (1981), it was shown that velocity fluctuations were permanently over-estimated </w:t>
      </w:r>
      <w:r w:rsidR="00E908B1">
        <w:rPr>
          <w:rFonts w:cs="Arial"/>
          <w:b w:val="0"/>
          <w:sz w:val="22"/>
          <w:szCs w:val="22"/>
        </w:rPr>
        <w:t>in Lau et al. (1979), and a correct</w:t>
      </w:r>
      <w:r w:rsidR="007E760B">
        <w:rPr>
          <w:rFonts w:cs="Arial"/>
          <w:b w:val="0"/>
          <w:sz w:val="22"/>
          <w:szCs w:val="22"/>
        </w:rPr>
        <w:t>ed</w:t>
      </w:r>
      <w:r w:rsidR="00E908B1">
        <w:rPr>
          <w:rFonts w:cs="Arial"/>
          <w:b w:val="0"/>
          <w:sz w:val="22"/>
          <w:szCs w:val="22"/>
        </w:rPr>
        <w:t xml:space="preserve"> data set was published. This was measured using hot-wire technique, and contains maximum values of the fluctuating quantities.</w:t>
      </w:r>
      <w:r w:rsidR="00A6330D">
        <w:rPr>
          <w:rFonts w:cs="Arial"/>
          <w:b w:val="0"/>
          <w:sz w:val="22"/>
          <w:szCs w:val="22"/>
        </w:rPr>
        <w:t xml:space="preserve"> The provided data set of Lau et al. to the Go4Hybrid partners is that of Lau et al. (1979), which was corrected by a coefficient equal to the ratio of maximum fluctuations extracted from </w:t>
      </w:r>
      <w:r w:rsidR="00A6330D">
        <w:rPr>
          <w:rFonts w:cs="Arial"/>
          <w:b w:val="0"/>
          <w:sz w:val="22"/>
          <w:szCs w:val="22"/>
        </w:rPr>
        <w:t>Lau et al. (1979)</w:t>
      </w:r>
      <w:r w:rsidR="00A6330D">
        <w:rPr>
          <w:rFonts w:cs="Arial"/>
          <w:b w:val="0"/>
          <w:sz w:val="22"/>
          <w:szCs w:val="22"/>
        </w:rPr>
        <w:t xml:space="preserve"> and Lau et al. (1981).</w:t>
      </w:r>
    </w:p>
    <w:p w:rsidR="0079359E" w:rsidRPr="0079359E" w:rsidRDefault="0079359E" w:rsidP="0079359E"/>
    <w:p w:rsidR="004719FB" w:rsidRDefault="00D459B9">
      <w:pPr>
        <w:pStyle w:val="berschrift1"/>
        <w:rPr>
          <w:rFonts w:cs="Arial"/>
          <w:b w:val="0"/>
          <w:sz w:val="22"/>
          <w:szCs w:val="22"/>
        </w:rPr>
      </w:pPr>
      <w:r w:rsidRPr="00D459B9">
        <w:rPr>
          <w:rFonts w:cs="Arial"/>
          <w:b w:val="0"/>
          <w:sz w:val="22"/>
          <w:szCs w:val="22"/>
        </w:rPr>
        <w:t xml:space="preserve">For the measurements carried out in </w:t>
      </w:r>
      <w:proofErr w:type="spellStart"/>
      <w:r w:rsidRPr="00D459B9">
        <w:rPr>
          <w:rFonts w:cs="Arial"/>
          <w:b w:val="0"/>
          <w:sz w:val="22"/>
          <w:szCs w:val="22"/>
        </w:rPr>
        <w:t>Arakeri</w:t>
      </w:r>
      <w:proofErr w:type="spellEnd"/>
      <w:r w:rsidRPr="00D459B9">
        <w:rPr>
          <w:rFonts w:cs="Arial"/>
          <w:b w:val="0"/>
          <w:sz w:val="22"/>
          <w:szCs w:val="22"/>
        </w:rPr>
        <w:t xml:space="preserve"> et al. (2003)</w:t>
      </w:r>
      <w:r>
        <w:rPr>
          <w:rFonts w:cs="Arial"/>
          <w:b w:val="0"/>
          <w:sz w:val="22"/>
          <w:szCs w:val="22"/>
        </w:rPr>
        <w:t xml:space="preserve">, PIV was used. This is known to be </w:t>
      </w:r>
      <w:r w:rsidR="00E84F9B">
        <w:rPr>
          <w:rFonts w:cs="Arial"/>
          <w:b w:val="0"/>
          <w:sz w:val="22"/>
          <w:szCs w:val="22"/>
        </w:rPr>
        <w:t>un</w:t>
      </w:r>
      <w:r>
        <w:rPr>
          <w:rFonts w:cs="Arial"/>
          <w:b w:val="0"/>
          <w:sz w:val="22"/>
          <w:szCs w:val="22"/>
        </w:rPr>
        <w:t>reliable in thin shear layers in the initial jet region</w:t>
      </w:r>
      <w:r w:rsidR="00E84F9B">
        <w:rPr>
          <w:rFonts w:cs="Arial"/>
          <w:b w:val="0"/>
          <w:sz w:val="22"/>
          <w:szCs w:val="22"/>
        </w:rPr>
        <w:t xml:space="preserve"> due to insufficient resolution</w:t>
      </w:r>
      <w:r>
        <w:rPr>
          <w:rFonts w:cs="Arial"/>
          <w:b w:val="0"/>
          <w:sz w:val="22"/>
          <w:szCs w:val="22"/>
        </w:rPr>
        <w:t xml:space="preserve">. </w:t>
      </w:r>
      <w:r w:rsidR="00C0251C">
        <w:rPr>
          <w:rFonts w:cs="Arial"/>
          <w:b w:val="0"/>
          <w:sz w:val="22"/>
          <w:szCs w:val="22"/>
        </w:rPr>
        <w:t>This leads to a significant under-estimation of</w:t>
      </w:r>
      <w:r>
        <w:rPr>
          <w:rFonts w:cs="Arial"/>
          <w:b w:val="0"/>
          <w:sz w:val="22"/>
          <w:szCs w:val="22"/>
        </w:rPr>
        <w:t xml:space="preserve"> the peak value</w:t>
      </w:r>
      <w:r w:rsidR="00C0251C">
        <w:rPr>
          <w:rFonts w:cs="Arial"/>
          <w:b w:val="0"/>
          <w:sz w:val="22"/>
          <w:szCs w:val="22"/>
        </w:rPr>
        <w:t>s</w:t>
      </w:r>
      <w:r>
        <w:rPr>
          <w:rFonts w:cs="Arial"/>
          <w:b w:val="0"/>
          <w:sz w:val="22"/>
          <w:szCs w:val="22"/>
        </w:rPr>
        <w:t xml:space="preserve"> o</w:t>
      </w:r>
      <w:r w:rsidR="00C0251C">
        <w:rPr>
          <w:rFonts w:cs="Arial"/>
          <w:b w:val="0"/>
          <w:sz w:val="22"/>
          <w:szCs w:val="22"/>
        </w:rPr>
        <w:t>f</w:t>
      </w:r>
      <w:r>
        <w:rPr>
          <w:rFonts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 w:val="0"/>
          <w:sz w:val="22"/>
          <w:szCs w:val="22"/>
        </w:rPr>
        <w:t>rms</w:t>
      </w:r>
      <w:proofErr w:type="spellEnd"/>
      <w:r>
        <w:rPr>
          <w:rFonts w:cs="Arial"/>
          <w:b w:val="0"/>
          <w:sz w:val="22"/>
          <w:szCs w:val="22"/>
        </w:rPr>
        <w:t>(</w:t>
      </w:r>
      <w:proofErr w:type="gramEnd"/>
      <w:r>
        <w:rPr>
          <w:rFonts w:cs="Arial"/>
          <w:b w:val="0"/>
          <w:sz w:val="22"/>
          <w:szCs w:val="22"/>
        </w:rPr>
        <w:t xml:space="preserve">u), </w:t>
      </w:r>
      <w:proofErr w:type="spellStart"/>
      <w:r>
        <w:rPr>
          <w:rFonts w:cs="Arial"/>
          <w:b w:val="0"/>
          <w:sz w:val="22"/>
          <w:szCs w:val="22"/>
        </w:rPr>
        <w:t>rms</w:t>
      </w:r>
      <w:proofErr w:type="spellEnd"/>
      <w:r>
        <w:rPr>
          <w:rFonts w:cs="Arial"/>
          <w:b w:val="0"/>
          <w:sz w:val="22"/>
          <w:szCs w:val="22"/>
        </w:rPr>
        <w:t>(</w:t>
      </w:r>
      <w:proofErr w:type="spellStart"/>
      <w:r>
        <w:rPr>
          <w:rFonts w:cs="Arial"/>
          <w:b w:val="0"/>
          <w:sz w:val="22"/>
          <w:szCs w:val="22"/>
        </w:rPr>
        <w:t>v_r</w:t>
      </w:r>
      <w:proofErr w:type="spellEnd"/>
      <w:r>
        <w:rPr>
          <w:rFonts w:cs="Arial"/>
          <w:b w:val="0"/>
          <w:sz w:val="22"/>
          <w:szCs w:val="22"/>
        </w:rPr>
        <w:t>) and &lt;</w:t>
      </w:r>
      <w:proofErr w:type="spellStart"/>
      <w:r>
        <w:rPr>
          <w:rFonts w:cs="Arial"/>
          <w:b w:val="0"/>
          <w:sz w:val="22"/>
          <w:szCs w:val="22"/>
        </w:rPr>
        <w:t>uv</w:t>
      </w:r>
      <w:proofErr w:type="spellEnd"/>
      <w:r>
        <w:rPr>
          <w:rFonts w:cs="Arial"/>
          <w:b w:val="0"/>
          <w:sz w:val="22"/>
          <w:szCs w:val="22"/>
        </w:rPr>
        <w:t xml:space="preserve">&gt; </w:t>
      </w:r>
      <w:r w:rsidR="00C0251C">
        <w:rPr>
          <w:rFonts w:cs="Arial"/>
          <w:b w:val="0"/>
          <w:sz w:val="22"/>
          <w:szCs w:val="22"/>
        </w:rPr>
        <w:t>in this region</w:t>
      </w:r>
      <w:r>
        <w:rPr>
          <w:rFonts w:cs="Arial"/>
          <w:b w:val="0"/>
          <w:sz w:val="22"/>
          <w:szCs w:val="22"/>
        </w:rPr>
        <w:t>.</w:t>
      </w:r>
      <w:r w:rsidR="001E4BD9">
        <w:rPr>
          <w:rFonts w:cs="Arial"/>
          <w:b w:val="0"/>
          <w:sz w:val="22"/>
          <w:szCs w:val="22"/>
        </w:rPr>
        <w:t xml:space="preserve"> </w:t>
      </w:r>
    </w:p>
    <w:p w:rsidR="00EC026F" w:rsidRDefault="00EC026F" w:rsidP="00EC026F"/>
    <w:p w:rsidR="00EC026F" w:rsidRDefault="00EC026F" w:rsidP="00EC026F">
      <w:r>
        <w:t xml:space="preserve">As for the acoustic benchmark data of </w:t>
      </w:r>
      <w:proofErr w:type="spellStart"/>
      <w:r>
        <w:t>Viswanathan</w:t>
      </w:r>
      <w:proofErr w:type="spellEnd"/>
      <w:r>
        <w:t xml:space="preserve">, the </w:t>
      </w:r>
      <w:r w:rsidR="00C20D92">
        <w:t>measured 1/3-octave SPL were</w:t>
      </w:r>
      <w:r>
        <w:t xml:space="preserve"> corrected</w:t>
      </w:r>
      <w:r w:rsidR="00C20D92">
        <w:t xml:space="preserve"> to account </w:t>
      </w:r>
      <w:r w:rsidR="0025454D">
        <w:t xml:space="preserve">for </w:t>
      </w:r>
      <w:r w:rsidR="00C20D92">
        <w:t>noise absorption of air</w:t>
      </w:r>
      <w:r>
        <w:t xml:space="preserve"> </w:t>
      </w:r>
      <w:r w:rsidR="00C20D92">
        <w:t>at</w:t>
      </w:r>
      <w:r>
        <w:t xml:space="preserve"> standard day conditions</w:t>
      </w:r>
      <w:r w:rsidR="00C20D92">
        <w:t xml:space="preserve"> based on the methods described in Shields &amp; Bass (1977).</w:t>
      </w:r>
    </w:p>
    <w:p w:rsidR="000C1799" w:rsidRPr="000C1799" w:rsidRDefault="000C1799" w:rsidP="000C1799"/>
    <w:p w:rsidR="00D459B9" w:rsidRPr="00D459B9" w:rsidRDefault="00D459B9" w:rsidP="00D459B9"/>
    <w:p w:rsidR="004719FB" w:rsidRDefault="006C1256">
      <w:pPr>
        <w:pStyle w:val="berschrift1"/>
        <w:rPr>
          <w:rFonts w:cs="Arial"/>
        </w:rPr>
      </w:pPr>
      <w:bookmarkStart w:id="5" w:name="_Toc368924898"/>
      <w:r>
        <w:rPr>
          <w:rFonts w:cs="Arial"/>
        </w:rPr>
        <w:lastRenderedPageBreak/>
        <w:t>6</w:t>
      </w:r>
      <w:r w:rsidR="004719FB">
        <w:rPr>
          <w:rFonts w:cs="Arial"/>
        </w:rPr>
        <w:t xml:space="preserve"> Physical phenomena and modelling challenges</w:t>
      </w:r>
      <w:bookmarkEnd w:id="5"/>
    </w:p>
    <w:p w:rsidR="00B2170A" w:rsidRDefault="00DA3889">
      <w:pPr>
        <w:spacing w:before="120"/>
        <w:jc w:val="both"/>
        <w:rPr>
          <w:rFonts w:cs="Arial"/>
        </w:rPr>
      </w:pPr>
      <w:r>
        <w:rPr>
          <w:rFonts w:cs="Arial"/>
        </w:rPr>
        <w:t xml:space="preserve">Jet flows at high Reynolds number constitute a significant challenge for hybrid RANS-LES methods due to the dominating influence of </w:t>
      </w:r>
      <w:r w:rsidR="00624473">
        <w:rPr>
          <w:rFonts w:cs="Arial"/>
        </w:rPr>
        <w:t>RANS</w:t>
      </w:r>
      <w:r w:rsidR="000D77CD">
        <w:rPr>
          <w:rFonts w:cs="Arial"/>
        </w:rPr>
        <w:t>-</w:t>
      </w:r>
      <w:r w:rsidR="00624473">
        <w:rPr>
          <w:rFonts w:cs="Arial"/>
        </w:rPr>
        <w:t>to</w:t>
      </w:r>
      <w:r w:rsidR="000D77CD">
        <w:rPr>
          <w:rFonts w:cs="Arial"/>
        </w:rPr>
        <w:t>-</w:t>
      </w:r>
      <w:r w:rsidR="00624473">
        <w:rPr>
          <w:rFonts w:cs="Arial"/>
        </w:rPr>
        <w:t>LES transition issues</w:t>
      </w:r>
      <w:r w:rsidR="00EE2D15">
        <w:rPr>
          <w:rFonts w:cs="Arial"/>
        </w:rPr>
        <w:t xml:space="preserve"> in the initial</w:t>
      </w:r>
      <w:r w:rsidR="00110D65">
        <w:rPr>
          <w:rFonts w:cs="Arial"/>
        </w:rPr>
        <w:t xml:space="preserve"> shear layer</w:t>
      </w:r>
      <w:r w:rsidR="00EE2D15">
        <w:rPr>
          <w:rFonts w:cs="Arial"/>
        </w:rPr>
        <w:t>s</w:t>
      </w:r>
      <w:r>
        <w:rPr>
          <w:rFonts w:cs="Arial"/>
        </w:rPr>
        <w:t>.</w:t>
      </w:r>
      <w:r w:rsidR="00C83669">
        <w:rPr>
          <w:rFonts w:cs="Arial"/>
        </w:rPr>
        <w:t xml:space="preserve"> For this reason, most of the published work in recent years was based on either implicit or explicit LES, </w:t>
      </w:r>
      <w:r w:rsidR="00A40AE1">
        <w:rPr>
          <w:rFonts w:cs="Arial"/>
        </w:rPr>
        <w:t>since</w:t>
      </w:r>
      <w:r w:rsidR="00C83669">
        <w:rPr>
          <w:rFonts w:cs="Arial"/>
        </w:rPr>
        <w:t xml:space="preserve"> e.g. standard DES </w:t>
      </w:r>
      <w:r w:rsidR="00A40AE1">
        <w:rPr>
          <w:rFonts w:cs="Arial"/>
        </w:rPr>
        <w:t>results typically exhibit extremely slow RANS</w:t>
      </w:r>
      <w:r w:rsidR="000D77CD">
        <w:rPr>
          <w:rFonts w:cs="Arial"/>
        </w:rPr>
        <w:t>-</w:t>
      </w:r>
      <w:r w:rsidR="00A40AE1">
        <w:rPr>
          <w:rFonts w:cs="Arial"/>
        </w:rPr>
        <w:t>to</w:t>
      </w:r>
      <w:r w:rsidR="000D77CD">
        <w:rPr>
          <w:rFonts w:cs="Arial"/>
        </w:rPr>
        <w:t>-</w:t>
      </w:r>
      <w:r w:rsidR="00A40AE1">
        <w:rPr>
          <w:rFonts w:cs="Arial"/>
        </w:rPr>
        <w:t xml:space="preserve">LES transition. </w:t>
      </w:r>
      <w:r w:rsidR="00E75954">
        <w:rPr>
          <w:rFonts w:cs="Arial"/>
        </w:rPr>
        <w:t>The main modelling challenge is to improve</w:t>
      </w:r>
      <w:r w:rsidR="004E1D95">
        <w:rPr>
          <w:rFonts w:cs="Arial"/>
        </w:rPr>
        <w:t xml:space="preserve"> RANS-to-LES</w:t>
      </w:r>
      <w:r w:rsidR="00E75954">
        <w:rPr>
          <w:rFonts w:cs="Arial"/>
        </w:rPr>
        <w:t xml:space="preserve"> transition in the early part of the shear layer to allow for more rapid development of turbulent structures.</w:t>
      </w:r>
    </w:p>
    <w:p w:rsidR="004719FB" w:rsidRDefault="006C1256">
      <w:pPr>
        <w:pStyle w:val="berschrift1"/>
        <w:spacing w:before="240"/>
        <w:rPr>
          <w:rFonts w:cs="Arial"/>
        </w:rPr>
      </w:pPr>
      <w:bookmarkStart w:id="6" w:name="_Toc368924899"/>
      <w:r>
        <w:rPr>
          <w:rFonts w:cs="Arial"/>
        </w:rPr>
        <w:t>7</w:t>
      </w:r>
      <w:r w:rsidR="004719FB">
        <w:rPr>
          <w:rFonts w:cs="Arial"/>
        </w:rPr>
        <w:t xml:space="preserve"> Relevant modelling techniques</w:t>
      </w:r>
      <w:bookmarkEnd w:id="6"/>
    </w:p>
    <w:p w:rsidR="004719FB" w:rsidRDefault="004719FB"/>
    <w:p w:rsidR="001828FE" w:rsidRDefault="00FC2BD2" w:rsidP="006C7A61">
      <w:r>
        <w:t>This test case is primarily intended for the assessment of non-zonal methods</w:t>
      </w:r>
      <w:r w:rsidR="002D180A">
        <w:t xml:space="preserve"> in Go4Hybrid</w:t>
      </w:r>
      <w:r w:rsidR="00FD2F02">
        <w:t>.</w:t>
      </w:r>
      <w:r>
        <w:t xml:space="preserve"> </w:t>
      </w:r>
      <w:r w:rsidR="002D180A">
        <w:t xml:space="preserve">For </w:t>
      </w:r>
      <w:r w:rsidR="00076E66">
        <w:t>such</w:t>
      </w:r>
      <w:r w:rsidR="002D180A">
        <w:t xml:space="preserve"> methods, a coupled simulation of nozzle and plume is assumed, however only the plume is meshed and incorporated into the simulation.</w:t>
      </w:r>
      <w:r w:rsidR="00D13313">
        <w:t xml:space="preserve"> A RANS solution</w:t>
      </w:r>
      <w:r w:rsidR="00AB54CD">
        <w:t xml:space="preserve"> (including eddy viscosity)</w:t>
      </w:r>
      <w:r w:rsidR="00D13313">
        <w:t xml:space="preserve"> is imposed at the nozzle exit plane to mimic </w:t>
      </w:r>
      <w:r w:rsidR="0049383F">
        <w:t>a</w:t>
      </w:r>
      <w:r w:rsidR="00D13313">
        <w:t xml:space="preserve"> coupled approach.</w:t>
      </w:r>
    </w:p>
    <w:p w:rsidR="000C24EA" w:rsidRDefault="000C24EA" w:rsidP="006C7A61"/>
    <w:p w:rsidR="00FD2F02" w:rsidRDefault="00F416E2" w:rsidP="006C7A61">
      <w:r>
        <w:t>Regarding</w:t>
      </w:r>
      <w:r w:rsidR="001828FE">
        <w:t xml:space="preserve"> zonal methods, the very thin boundary layer inside the nozzle</w:t>
      </w:r>
      <w:r w:rsidR="00951B93">
        <w:t xml:space="preserve"> compared to the nozzle diameter</w:t>
      </w:r>
      <w:r w:rsidR="001828FE">
        <w:t xml:space="preserve"> </w:t>
      </w:r>
      <w:r w:rsidR="00951B93">
        <w:t>makes</w:t>
      </w:r>
      <w:r w:rsidR="001828FE">
        <w:t xml:space="preserve"> WMLES unfeasib</w:t>
      </w:r>
      <w:r w:rsidR="00951B93">
        <w:t>ly</w:t>
      </w:r>
      <w:r w:rsidR="001828FE">
        <w:t xml:space="preserve"> expensive </w:t>
      </w:r>
      <w:r w:rsidR="00951B93">
        <w:t>for realistic Reynolds numbers</w:t>
      </w:r>
      <w:r w:rsidR="00F713F8">
        <w:t xml:space="preserve">, so that this test case seems unsuitable for </w:t>
      </w:r>
      <w:r w:rsidR="00171B8A">
        <w:t>embedded</w:t>
      </w:r>
      <w:r w:rsidR="00F713F8">
        <w:t xml:space="preserve"> methods.</w:t>
      </w:r>
      <w:r w:rsidR="002D180A">
        <w:t xml:space="preserve"> </w:t>
      </w:r>
      <w:r w:rsidR="0049383F">
        <w:t>However,</w:t>
      </w:r>
      <w:r w:rsidR="0020422F">
        <w:t xml:space="preserve"> partners assessing</w:t>
      </w:r>
      <w:r w:rsidR="00C5460E">
        <w:t xml:space="preserve"> turbulence generators could</w:t>
      </w:r>
      <w:r w:rsidR="00CE35E2">
        <w:t xml:space="preserve"> potentially</w:t>
      </w:r>
      <w:r w:rsidR="00C5460E">
        <w:t xml:space="preserve"> investigate a couple</w:t>
      </w:r>
      <w:r w:rsidR="004A6F93">
        <w:t>d</w:t>
      </w:r>
      <w:r w:rsidR="00C5460E">
        <w:t xml:space="preserve"> approach whereby the early shear layer </w:t>
      </w:r>
      <w:r w:rsidR="009B03FC">
        <w:t>is</w:t>
      </w:r>
      <w:r w:rsidR="00C5460E">
        <w:t xml:space="preserve"> treated with RANS and turbulent structures are injected </w:t>
      </w:r>
      <w:r w:rsidR="009B03FC">
        <w:t xml:space="preserve">at a pre-defined location </w:t>
      </w:r>
      <w:r w:rsidR="00E00ADC">
        <w:t xml:space="preserve">further downstream to predict aerodynamic </w:t>
      </w:r>
      <w:r w:rsidR="00D32748">
        <w:t>characteristics</w:t>
      </w:r>
      <w:r w:rsidR="00E00ADC">
        <w:t>.</w:t>
      </w:r>
    </w:p>
    <w:p w:rsidR="004719FB" w:rsidRDefault="004719FB">
      <w:pPr>
        <w:pStyle w:val="Textkrper2"/>
      </w:pPr>
    </w:p>
    <w:p w:rsidR="004719FB" w:rsidRDefault="006C1256">
      <w:pPr>
        <w:pStyle w:val="berschrift1"/>
        <w:rPr>
          <w:rFonts w:cs="Arial"/>
        </w:rPr>
      </w:pPr>
      <w:bookmarkStart w:id="7" w:name="_Toc368924900"/>
      <w:r>
        <w:rPr>
          <w:rFonts w:cs="Arial"/>
        </w:rPr>
        <w:t>8</w:t>
      </w:r>
      <w:r w:rsidR="004719FB">
        <w:rPr>
          <w:rFonts w:cs="Arial"/>
        </w:rPr>
        <w:t xml:space="preserve"> Flow and boundary conditions</w:t>
      </w:r>
      <w:bookmarkEnd w:id="7"/>
    </w:p>
    <w:p w:rsidR="006C7A61" w:rsidRDefault="006C7A61" w:rsidP="006C7A61">
      <w:pPr>
        <w:jc w:val="both"/>
      </w:pPr>
    </w:p>
    <w:p w:rsidR="008133E5" w:rsidRDefault="006C7A61" w:rsidP="006C7A61">
      <w:pPr>
        <w:jc w:val="both"/>
      </w:pPr>
      <w:r>
        <w:t xml:space="preserve">The considered Reynolds number </w:t>
      </w:r>
      <w:r w:rsidR="00323EC4">
        <w:t>of the flow is</w:t>
      </w:r>
      <w:r>
        <w:t xml:space="preserve"> </w:t>
      </w:r>
      <w:r w:rsidRPr="006C7A61">
        <w:rPr>
          <w:i/>
        </w:rPr>
        <w:t>Re</w:t>
      </w:r>
      <w:r w:rsidR="00323EC4">
        <w:rPr>
          <w:vertAlign w:val="subscript"/>
        </w:rPr>
        <w:t>D</w:t>
      </w:r>
      <w:r>
        <w:t xml:space="preserve"> = 1</w:t>
      </w:r>
      <w:r w:rsidR="00323EC4">
        <w:t>.1</w:t>
      </w:r>
      <w:r w:rsidR="00805561">
        <w:t xml:space="preserve"> x </w:t>
      </w:r>
      <w:r>
        <w:t>10</w:t>
      </w:r>
      <w:r w:rsidRPr="006C7A61">
        <w:rPr>
          <w:vertAlign w:val="superscript"/>
        </w:rPr>
        <w:t>6</w:t>
      </w:r>
      <w:r>
        <w:t xml:space="preserve"> </w:t>
      </w:r>
      <w:r w:rsidR="0051227E">
        <w:t xml:space="preserve">(rounded to one digit accuracy) </w:t>
      </w:r>
      <w:r>
        <w:t>based on the</w:t>
      </w:r>
      <w:r w:rsidR="00323EC4">
        <w:t xml:space="preserve"> nozzle exit diameter, the jet </w:t>
      </w:r>
      <w:r w:rsidR="001F285F">
        <w:t xml:space="preserve">reference </w:t>
      </w:r>
      <w:r w:rsidR="00323EC4">
        <w:t>velocity and farfield values of density and dynamic viscosity</w:t>
      </w:r>
      <w:r w:rsidR="001F285F">
        <w:t>, respectively</w:t>
      </w:r>
      <w:r w:rsidR="00323EC4">
        <w:t>.</w:t>
      </w:r>
      <w:r w:rsidR="00A74DC9">
        <w:t xml:space="preserve"> </w:t>
      </w:r>
      <w:r w:rsidR="005229B0">
        <w:t xml:space="preserve">The </w:t>
      </w:r>
      <w:r w:rsidR="003B45B1">
        <w:t>considered</w:t>
      </w:r>
      <w:r w:rsidR="005229B0">
        <w:t xml:space="preserve"> fluid is air.</w:t>
      </w:r>
      <w:r w:rsidR="00E0020D">
        <w:t xml:space="preserve"> The reference jet velocity</w:t>
      </w:r>
      <w:r w:rsidR="003E1B14">
        <w:t xml:space="preserve"> (corresponds to the fully expanded jet velocity)</w:t>
      </w:r>
      <w:r w:rsidR="00E0020D">
        <w:t xml:space="preserve"> for this case is computed from the farfield speed of sound via </w:t>
      </w:r>
      <w:r w:rsidR="00E0020D" w:rsidRPr="00B1331C">
        <w:rPr>
          <w:lang w:val="en-US"/>
        </w:rPr>
        <w:t>U</w:t>
      </w:r>
      <w:r w:rsidR="00E0020D" w:rsidRPr="00B1331C">
        <w:rPr>
          <w:vertAlign w:val="subscript"/>
          <w:lang w:val="en-US"/>
        </w:rPr>
        <w:t>jet</w:t>
      </w:r>
      <w:r w:rsidR="00E0020D" w:rsidRPr="00B1331C">
        <w:rPr>
          <w:lang w:val="en-US"/>
        </w:rPr>
        <w:t xml:space="preserve"> = 0.835 x a</w:t>
      </w:r>
      <w:r w:rsidR="00E0020D" w:rsidRPr="00654AA9">
        <w:rPr>
          <w:vertAlign w:val="subscript"/>
          <w:lang w:val="en-US"/>
        </w:rPr>
        <w:t>0</w:t>
      </w:r>
      <w:r w:rsidR="00E0020D" w:rsidRPr="00B1331C">
        <w:rPr>
          <w:lang w:val="en-US"/>
        </w:rPr>
        <w:t>.</w:t>
      </w:r>
      <w:r w:rsidR="005229B0">
        <w:t xml:space="preserve"> </w:t>
      </w:r>
      <w:r w:rsidR="00A74DC9">
        <w:t xml:space="preserve">As for the farfield values, </w:t>
      </w:r>
      <w:r w:rsidR="0019050A">
        <w:t xml:space="preserve">no reference values are available from the experiments, but all experiments were conducted at approximate standard </w:t>
      </w:r>
      <w:r w:rsidR="009D1C52">
        <w:t>atmospheric</w:t>
      </w:r>
      <w:r w:rsidR="0019050A">
        <w:t xml:space="preserve"> conditions. </w:t>
      </w:r>
      <w:r w:rsidR="00B4610E">
        <w:t xml:space="preserve">As for the 2 project partners who have so far </w:t>
      </w:r>
      <w:r w:rsidR="007D3219">
        <w:t>ran</w:t>
      </w:r>
      <w:r w:rsidR="00B4610E">
        <w:t xml:space="preserve"> the test case, </w:t>
      </w:r>
      <w:r w:rsidR="00A74DC9">
        <w:t>slightly differing values have been</w:t>
      </w:r>
      <w:r>
        <w:t xml:space="preserve"> </w:t>
      </w:r>
      <w:r w:rsidR="00B4610E">
        <w:t>adopted</w:t>
      </w:r>
      <w:r w:rsidR="00A74DC9">
        <w:t>, which are listed in Table 1.</w:t>
      </w:r>
      <w:r w:rsidR="00AB6284">
        <w:t xml:space="preserve"> </w:t>
      </w:r>
      <w:r w:rsidR="00761691">
        <w:t>However, t</w:t>
      </w:r>
      <w:r w:rsidR="00AB6284">
        <w:t xml:space="preserve">he influence of this on the prediction of aerodynamic and acoustic quantities is </w:t>
      </w:r>
      <w:r w:rsidR="00761691">
        <w:t>s</w:t>
      </w:r>
      <w:r w:rsidR="00AB6284">
        <w:t>een to be very small.</w:t>
      </w:r>
      <w:r w:rsidR="00EE4BD1">
        <w:t xml:space="preserve"> </w:t>
      </w:r>
      <w:r w:rsidR="009E03BA">
        <w:t>For the jet simulations in Go4Hybrid, the farfield values of CFDB are suggested for usage.</w:t>
      </w:r>
    </w:p>
    <w:p w:rsidR="00C846A7" w:rsidRPr="00B1331C" w:rsidRDefault="00C846A7" w:rsidP="006C7A61">
      <w:pPr>
        <w:jc w:val="both"/>
      </w:pPr>
    </w:p>
    <w:p w:rsidR="006C7A61" w:rsidRDefault="006C7A61" w:rsidP="006C7A61">
      <w:pPr>
        <w:jc w:val="both"/>
      </w:pPr>
    </w:p>
    <w:tbl>
      <w:tblPr>
        <w:tblStyle w:val="Tabellenraster"/>
        <w:tblW w:w="0" w:type="auto"/>
        <w:jc w:val="center"/>
        <w:tblInd w:w="600" w:type="dxa"/>
        <w:tblLook w:val="04A0" w:firstRow="1" w:lastRow="0" w:firstColumn="1" w:lastColumn="0" w:noHBand="0" w:noVBand="1"/>
      </w:tblPr>
      <w:tblGrid>
        <w:gridCol w:w="2038"/>
        <w:gridCol w:w="1812"/>
        <w:gridCol w:w="1134"/>
        <w:gridCol w:w="2239"/>
      </w:tblGrid>
      <w:tr w:rsidR="000D756C" w:rsidTr="00FA76FB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56C" w:rsidRPr="001D6812" w:rsidRDefault="000D756C" w:rsidP="004B06F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partner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56C" w:rsidRPr="000F15ED" w:rsidRDefault="00FA76FB" w:rsidP="004B06F1">
            <w:pPr>
              <w:jc w:val="center"/>
              <w:rPr>
                <w:rFonts w:cs="Arial"/>
                <w:b/>
              </w:rPr>
            </w:pPr>
            <w:r w:rsidRPr="003D11AB"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  <w:lang w:val="en-US"/>
              </w:rPr>
              <w:t>0</w:t>
            </w:r>
            <w:r w:rsidRPr="003D11A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/ </w:t>
            </w:r>
            <w:r w:rsidR="000D756C" w:rsidRPr="003D11AB">
              <w:rPr>
                <w:b/>
                <w:lang w:val="en-US"/>
              </w:rPr>
              <w:t>U</w:t>
            </w:r>
            <w:r w:rsidR="000D756C" w:rsidRPr="003D11AB">
              <w:rPr>
                <w:b/>
                <w:vertAlign w:val="subscript"/>
                <w:lang w:val="en-US"/>
              </w:rPr>
              <w:t>jet</w:t>
            </w:r>
            <w:r w:rsidR="000D756C">
              <w:rPr>
                <w:b/>
                <w:lang w:val="en-US"/>
              </w:rPr>
              <w:t xml:space="preserve"> (m/s)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56C" w:rsidRPr="001D6812" w:rsidRDefault="000D756C" w:rsidP="004B06F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0F15ED">
              <w:rPr>
                <w:rFonts w:cs="Arial"/>
                <w:b/>
                <w:vertAlign w:val="subscript"/>
              </w:rPr>
              <w:t>0</w:t>
            </w:r>
            <w:r>
              <w:rPr>
                <w:rFonts w:cs="Arial"/>
                <w:b/>
              </w:rPr>
              <w:t xml:space="preserve"> (Pa)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56C" w:rsidRPr="000F15ED" w:rsidRDefault="000D756C" w:rsidP="00AC71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Pr="000F15ED">
              <w:rPr>
                <w:rFonts w:cs="Arial"/>
                <w:b/>
                <w:vertAlign w:val="subscript"/>
              </w:rPr>
              <w:t>0</w:t>
            </w:r>
            <w:r>
              <w:rPr>
                <w:rFonts w:cs="Arial"/>
                <w:b/>
              </w:rPr>
              <w:t xml:space="preserve"> (K)</w:t>
            </w:r>
          </w:p>
        </w:tc>
      </w:tr>
      <w:tr w:rsidR="000D756C" w:rsidTr="00FA76FB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56C" w:rsidRDefault="000D756C" w:rsidP="004B06F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NTS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56C" w:rsidRDefault="000D756C" w:rsidP="004B0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289.7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56C" w:rsidRDefault="00383817" w:rsidP="004B0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100000.0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56C" w:rsidRDefault="000D756C" w:rsidP="004B0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0D756C" w:rsidTr="00FA76FB">
        <w:trPr>
          <w:jc w:val="center"/>
        </w:trPr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56C" w:rsidRDefault="000D756C" w:rsidP="004B06F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CFDB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56C" w:rsidRDefault="00383817" w:rsidP="004B0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284.2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56C" w:rsidRDefault="00383817" w:rsidP="004B0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101342.3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56C" w:rsidRDefault="00383817" w:rsidP="004B0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288.15</w:t>
            </w:r>
          </w:p>
        </w:tc>
      </w:tr>
      <w:tr w:rsidR="003D11AB" w:rsidTr="00FA76FB">
        <w:trPr>
          <w:jc w:val="center"/>
        </w:trPr>
        <w:tc>
          <w:tcPr>
            <w:tcW w:w="71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11AB" w:rsidRDefault="003D11AB" w:rsidP="00BA3821">
            <w:pPr>
              <w:rPr>
                <w:rFonts w:cs="Arial"/>
              </w:rPr>
            </w:pPr>
            <w:r w:rsidRPr="00AA4FED">
              <w:rPr>
                <w:rFonts w:cs="Arial"/>
                <w:b/>
              </w:rPr>
              <w:t>Table 1</w:t>
            </w:r>
            <w:r>
              <w:rPr>
                <w:rFonts w:cs="Arial"/>
              </w:rPr>
              <w:t>: Farfield conditions applied by different partners</w:t>
            </w:r>
            <w:r w:rsidR="000F04F3">
              <w:rPr>
                <w:rFonts w:cs="Arial"/>
              </w:rPr>
              <w:t>.</w:t>
            </w:r>
            <w:r w:rsidR="00C133F1">
              <w:rPr>
                <w:rFonts w:cs="Arial"/>
              </w:rPr>
              <w:t xml:space="preserve"> Settings of CFDB proposed as reference conditions in Go4Hybrid.</w:t>
            </w:r>
          </w:p>
        </w:tc>
      </w:tr>
    </w:tbl>
    <w:p w:rsidR="00AC7122" w:rsidRDefault="00AC7122" w:rsidP="006C7A61">
      <w:pPr>
        <w:jc w:val="both"/>
      </w:pPr>
    </w:p>
    <w:p w:rsidR="006C7A61" w:rsidRDefault="00B1331C" w:rsidP="006C7A61">
      <w:pPr>
        <w:jc w:val="both"/>
      </w:pPr>
      <w:r>
        <w:t>The following b</w:t>
      </w:r>
      <w:r w:rsidR="006C7A61">
        <w:t>oundary conditions</w:t>
      </w:r>
      <w:r>
        <w:t xml:space="preserve"> are recommended for this test case</w:t>
      </w:r>
      <w:r w:rsidR="006C7A61">
        <w:t>:</w:t>
      </w:r>
    </w:p>
    <w:p w:rsidR="000F38F8" w:rsidRDefault="00647634" w:rsidP="006C7A61">
      <w:pPr>
        <w:numPr>
          <w:ilvl w:val="0"/>
          <w:numId w:val="20"/>
        </w:numPr>
        <w:jc w:val="both"/>
      </w:pPr>
      <w:r>
        <w:t>A free-slip</w:t>
      </w:r>
      <w:r w:rsidR="00B13215">
        <w:t xml:space="preserve"> (adiabatic)</w:t>
      </w:r>
      <w:r>
        <w:t xml:space="preserve"> condition is prescribed </w:t>
      </w:r>
      <w:r w:rsidR="00A64C0D">
        <w:t>at</w:t>
      </w:r>
      <w:r>
        <w:t xml:space="preserve"> the nozzle wall</w:t>
      </w:r>
    </w:p>
    <w:p w:rsidR="00B13215" w:rsidRDefault="00B13215" w:rsidP="006C7A61">
      <w:pPr>
        <w:numPr>
          <w:ilvl w:val="0"/>
          <w:numId w:val="20"/>
        </w:numPr>
        <w:jc w:val="both"/>
      </w:pPr>
      <w:r>
        <w:t xml:space="preserve">For the outer domain boundaries, </w:t>
      </w:r>
      <w:r w:rsidR="00472A5A">
        <w:t xml:space="preserve">standard </w:t>
      </w:r>
      <w:r>
        <w:t>farfield boundary conditions are prescribed</w:t>
      </w:r>
    </w:p>
    <w:p w:rsidR="006C7A61" w:rsidRDefault="00DF1863" w:rsidP="006C7A61">
      <w:pPr>
        <w:numPr>
          <w:ilvl w:val="0"/>
          <w:numId w:val="20"/>
        </w:numPr>
        <w:jc w:val="both"/>
      </w:pPr>
      <w:r>
        <w:t xml:space="preserve">A </w:t>
      </w:r>
      <w:r w:rsidR="00C04FAE">
        <w:t xml:space="preserve">small </w:t>
      </w:r>
      <w:r>
        <w:t>co-flow can be</w:t>
      </w:r>
      <w:r w:rsidR="00B13215">
        <w:t xml:space="preserve"> </w:t>
      </w:r>
      <w:r>
        <w:t>added to improve convergence</w:t>
      </w:r>
      <w:r w:rsidR="00B13215">
        <w:t xml:space="preserve"> especially for density-based solvers</w:t>
      </w:r>
      <w:r w:rsidR="00020D93">
        <w:t>. NTS and CFDB use</w:t>
      </w:r>
      <w:r>
        <w:t xml:space="preserve"> a co-flow</w:t>
      </w:r>
      <w:r w:rsidR="00020D93">
        <w:t xml:space="preserve"> velocity</w:t>
      </w:r>
      <w:r>
        <w:t xml:space="preserve"> of </w:t>
      </w:r>
      <w:proofErr w:type="spellStart"/>
      <w:r>
        <w:t>U</w:t>
      </w:r>
      <w:r w:rsidRPr="00DF1863">
        <w:rPr>
          <w:vertAlign w:val="subscript"/>
        </w:rPr>
        <w:t>c</w:t>
      </w:r>
      <w:r w:rsidR="00020D93">
        <w:rPr>
          <w:vertAlign w:val="subscript"/>
        </w:rPr>
        <w:t>o</w:t>
      </w:r>
      <w:proofErr w:type="spellEnd"/>
      <w:r w:rsidR="00020D93">
        <w:rPr>
          <w:vertAlign w:val="subscript"/>
        </w:rPr>
        <w:t>-flow</w:t>
      </w:r>
      <w:r w:rsidR="00B13215">
        <w:t xml:space="preserve"> = 0.01 x a</w:t>
      </w:r>
      <w:r w:rsidR="00B13215" w:rsidRPr="00B13215">
        <w:rPr>
          <w:vertAlign w:val="subscript"/>
        </w:rPr>
        <w:t>0</w:t>
      </w:r>
      <w:r>
        <w:t>.</w:t>
      </w:r>
    </w:p>
    <w:p w:rsidR="006C7A61" w:rsidRDefault="004D3C05" w:rsidP="006C7A61">
      <w:pPr>
        <w:numPr>
          <w:ilvl w:val="0"/>
          <w:numId w:val="20"/>
        </w:numPr>
        <w:jc w:val="both"/>
      </w:pPr>
      <w:r>
        <w:t>At the nozzle exit plane, steady-state profiles from a precursor RANS are prescribed</w:t>
      </w:r>
      <w:r w:rsidR="00620CD8">
        <w:t xml:space="preserve"> (where the computed boundary layer thickness and the momentum thickness are 8 x 10</w:t>
      </w:r>
      <w:r w:rsidR="00620CD8" w:rsidRPr="00620CD8">
        <w:rPr>
          <w:vertAlign w:val="superscript"/>
        </w:rPr>
        <w:t>-3</w:t>
      </w:r>
      <w:r w:rsidR="00620CD8">
        <w:t xml:space="preserve">D and 5 x </w:t>
      </w:r>
      <w:r w:rsidR="00620CD8">
        <w:lastRenderedPageBreak/>
        <w:t>10</w:t>
      </w:r>
      <w:r w:rsidR="00620CD8" w:rsidRPr="00620CD8">
        <w:rPr>
          <w:vertAlign w:val="superscript"/>
        </w:rPr>
        <w:t>-4</w:t>
      </w:r>
      <w:r w:rsidR="00620CD8">
        <w:t>D, respectively).</w:t>
      </w:r>
      <w:r w:rsidR="00701AD5">
        <w:t xml:space="preserve"> So far, NTS has provided profiles fo</w:t>
      </w:r>
      <w:r w:rsidR="00E31595">
        <w:t xml:space="preserve">r the standard </w:t>
      </w:r>
      <w:proofErr w:type="spellStart"/>
      <w:r w:rsidR="00E31595">
        <w:t>Spalart-Allmaras</w:t>
      </w:r>
      <w:proofErr w:type="spellEnd"/>
      <w:r w:rsidR="00FD3DB0">
        <w:t xml:space="preserve"> model</w:t>
      </w:r>
      <w:r w:rsidR="00E31595">
        <w:t>, which are uploaded on the Go4Hybrid web page.</w:t>
      </w:r>
      <w:r w:rsidR="007C745D">
        <w:t xml:space="preserve"> In case</w:t>
      </w:r>
      <w:r w:rsidR="00FC0C89">
        <w:t xml:space="preserve"> </w:t>
      </w:r>
      <w:r w:rsidR="007C745D">
        <w:t xml:space="preserve">alternative RANS background models are used by </w:t>
      </w:r>
      <w:r w:rsidR="00FC0C89">
        <w:t>a</w:t>
      </w:r>
      <w:r w:rsidR="007C745D">
        <w:t xml:space="preserve"> Go4Hybrid partner,</w:t>
      </w:r>
      <w:r w:rsidR="00AE7D4A">
        <w:t xml:space="preserve"> a discussion with NTS </w:t>
      </w:r>
      <w:r w:rsidR="00EF5352">
        <w:t>should</w:t>
      </w:r>
      <w:r w:rsidR="00AE7D4A">
        <w:t xml:space="preserve"> be initiated whether profiles for this resp</w:t>
      </w:r>
      <w:r w:rsidR="00407451">
        <w:t>ective RANS model already exist</w:t>
      </w:r>
      <w:r w:rsidR="00AE7D4A">
        <w:t xml:space="preserve"> or whether it is feasible for NTS to compute / provide these profiles.</w:t>
      </w:r>
      <w:r w:rsidR="00211C4E">
        <w:t xml:space="preserve"> Another aspect of the proposed method to set the nozzle outlet condition is briefly discussed here as well.</w:t>
      </w:r>
      <w:r w:rsidR="00DB4A36">
        <w:t xml:space="preserve"> All provided profiles so far are for static quantities normalised by a reference value. When applying these static quantities to a flow solver that requires total quantities (e.g. total pressure inlet condition), a mild deviation between computed RANS profiles and the prescribed profiles for the hybrid RANS-LES calculation is seen (see Figure 3).</w:t>
      </w:r>
      <w:r w:rsidR="00A57607">
        <w:t xml:space="preserve"> This concerns the </w:t>
      </w:r>
      <w:r w:rsidR="002D27AA">
        <w:t>region close to the nozzle wall</w:t>
      </w:r>
      <w:r w:rsidR="00A57607">
        <w:t>, as the isentropic relation</w:t>
      </w:r>
      <w:r w:rsidR="006535C8">
        <w:t xml:space="preserve"> </w:t>
      </w:r>
      <w:r w:rsidR="006F1521">
        <w:t>(</w:t>
      </w:r>
      <w:r w:rsidR="006535C8">
        <w:t>commonly used to transform static into total quantities</w:t>
      </w:r>
      <w:r w:rsidR="006F1521">
        <w:t>)</w:t>
      </w:r>
      <w:r w:rsidR="00A57607">
        <w:t xml:space="preserve"> does not hold here.</w:t>
      </w:r>
      <w:r w:rsidR="00DB4A36">
        <w:t xml:space="preserve"> </w:t>
      </w:r>
      <w:r w:rsidR="002B4BD1">
        <w:t>NTS conducted tests to investigate the influence of this, and</w:t>
      </w:r>
      <w:r w:rsidR="00D13E49">
        <w:t xml:space="preserve"> it was</w:t>
      </w:r>
      <w:r w:rsidR="002B4BD1">
        <w:t xml:space="preserve"> found that the overall flow and acoustics prediction is</w:t>
      </w:r>
      <w:r w:rsidR="00874D51">
        <w:t xml:space="preserve"> relatively</w:t>
      </w:r>
      <w:r w:rsidR="002B4BD1">
        <w:t xml:space="preserve"> insensitive to </w:t>
      </w:r>
      <w:r w:rsidR="00955EBF">
        <w:t>this discrepancy</w:t>
      </w:r>
      <w:r w:rsidR="002B4BD1">
        <w:t>. However, every partner conducting the test case is free to investigate this issue.</w:t>
      </w:r>
    </w:p>
    <w:p w:rsidR="00FD3DB0" w:rsidRDefault="00FD3DB0" w:rsidP="006C7A61">
      <w:pPr>
        <w:numPr>
          <w:ilvl w:val="0"/>
          <w:numId w:val="20"/>
        </w:numPr>
        <w:jc w:val="both"/>
      </w:pPr>
      <w:r>
        <w:t xml:space="preserve">To mitigate undesired acoustic reflections from the farfield boundaries and the nozzle exit plane, </w:t>
      </w:r>
      <w:r w:rsidR="003D09BA">
        <w:t>the application of methods such as sponge layers and/or non-reflecting boundary conditions is recommended</w:t>
      </w:r>
      <w:r w:rsidR="003D09BA">
        <w:t>.</w:t>
      </w:r>
    </w:p>
    <w:p w:rsidR="00D73852" w:rsidRDefault="00D73852" w:rsidP="00D73852">
      <w:pPr>
        <w:jc w:val="both"/>
      </w:pPr>
    </w:p>
    <w:p w:rsidR="00D73852" w:rsidRPr="006C7A61" w:rsidRDefault="00D73852" w:rsidP="00D7385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92375" w:rsidTr="002D1678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492375" w:rsidRDefault="00492375" w:rsidP="00492375">
            <w:pPr>
              <w:pStyle w:val="Index"/>
              <w:suppressLineNumbers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520000" cy="1765110"/>
                  <wp:effectExtent l="19050" t="0" r="0" b="0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-nozzle_U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76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92375" w:rsidRDefault="00492375" w:rsidP="00492375">
            <w:pPr>
              <w:pStyle w:val="Index"/>
              <w:suppressLineNumbers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520000" cy="1765110"/>
                  <wp:effectExtent l="19050" t="0" r="0" b="0"/>
                  <wp:docPr id="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-nozzle_U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76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375" w:rsidTr="002D1678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492375" w:rsidRDefault="00492375" w:rsidP="00492375">
            <w:pPr>
              <w:pStyle w:val="Index"/>
              <w:suppressLineNumbers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520000" cy="1765110"/>
                  <wp:effectExtent l="19050" t="0" r="0" b="0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-nozzle_p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76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92375" w:rsidRDefault="00492375" w:rsidP="00492375">
            <w:pPr>
              <w:pStyle w:val="Index"/>
              <w:suppressLineNumbers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520000" cy="1769007"/>
                  <wp:effectExtent l="19050" t="0" r="0" b="0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-nozzle_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76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375" w:rsidTr="002D1678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FDC" w:rsidRDefault="001C7FDC" w:rsidP="00B75442">
            <w:pPr>
              <w:pStyle w:val="Index"/>
              <w:suppressLineNumbers w:val="0"/>
              <w:rPr>
                <w:b/>
                <w:sz w:val="20"/>
              </w:rPr>
            </w:pPr>
          </w:p>
          <w:p w:rsidR="00492375" w:rsidRDefault="00492375" w:rsidP="00A16011">
            <w:pPr>
              <w:pStyle w:val="Index"/>
              <w:suppressLineNumbers w:val="0"/>
              <w:rPr>
                <w:rFonts w:cs="Arial"/>
              </w:rPr>
            </w:pPr>
            <w:r w:rsidRPr="001C6355">
              <w:rPr>
                <w:b/>
                <w:sz w:val="20"/>
              </w:rPr>
              <w:t>Figure</w:t>
            </w:r>
            <w:r w:rsidR="00FC5FB8">
              <w:rPr>
                <w:b/>
                <w:sz w:val="20"/>
              </w:rPr>
              <w:t xml:space="preserve"> </w:t>
            </w:r>
            <w:r w:rsidR="00F33E94">
              <w:rPr>
                <w:b/>
                <w:sz w:val="20"/>
              </w:rPr>
              <w:t>3</w:t>
            </w:r>
            <w:r w:rsidRPr="001C6355">
              <w:rPr>
                <w:b/>
                <w:sz w:val="20"/>
              </w:rPr>
              <w:t xml:space="preserve">: </w:t>
            </w:r>
            <w:r w:rsidR="00B75442">
              <w:rPr>
                <w:sz w:val="20"/>
              </w:rPr>
              <w:t xml:space="preserve">Profiles from precursor RANS of nozzle interior and </w:t>
            </w:r>
            <w:r w:rsidR="00AD06BC">
              <w:rPr>
                <w:sz w:val="20"/>
              </w:rPr>
              <w:t>pre</w:t>
            </w:r>
            <w:r w:rsidR="00B75442">
              <w:rPr>
                <w:sz w:val="20"/>
              </w:rPr>
              <w:t xml:space="preserve">scribed </w:t>
            </w:r>
            <w:r w:rsidR="00025E81">
              <w:rPr>
                <w:sz w:val="20"/>
              </w:rPr>
              <w:t>D</w:t>
            </w:r>
            <w:r w:rsidRPr="001C6355">
              <w:rPr>
                <w:sz w:val="20"/>
              </w:rPr>
              <w:t>DES profiles</w:t>
            </w:r>
            <w:r w:rsidR="00254E01">
              <w:rPr>
                <w:sz w:val="20"/>
              </w:rPr>
              <w:t xml:space="preserve"> </w:t>
            </w:r>
            <w:r w:rsidRPr="001C6355">
              <w:rPr>
                <w:sz w:val="20"/>
              </w:rPr>
              <w:t>computed</w:t>
            </w:r>
            <w:r w:rsidR="00B75442">
              <w:rPr>
                <w:sz w:val="20"/>
              </w:rPr>
              <w:t xml:space="preserve"> from RANS values</w:t>
            </w:r>
            <w:r w:rsidR="0042395C">
              <w:rPr>
                <w:sz w:val="20"/>
              </w:rPr>
              <w:t xml:space="preserve"> </w:t>
            </w:r>
            <w:r w:rsidRPr="001C6355">
              <w:rPr>
                <w:sz w:val="20"/>
              </w:rPr>
              <w:t xml:space="preserve">using isentropic </w:t>
            </w:r>
            <w:r w:rsidR="00866A54">
              <w:rPr>
                <w:sz w:val="20"/>
              </w:rPr>
              <w:t xml:space="preserve">flow </w:t>
            </w:r>
            <w:r w:rsidR="00B75442">
              <w:rPr>
                <w:sz w:val="20"/>
              </w:rPr>
              <w:t>relations</w:t>
            </w:r>
            <w:r w:rsidR="002C662D">
              <w:rPr>
                <w:sz w:val="20"/>
              </w:rPr>
              <w:t xml:space="preserve"> (both </w:t>
            </w:r>
            <w:r w:rsidR="00A16011">
              <w:rPr>
                <w:sz w:val="20"/>
              </w:rPr>
              <w:t xml:space="preserve">models </w:t>
            </w:r>
            <w:r w:rsidR="002C662D">
              <w:rPr>
                <w:sz w:val="20"/>
              </w:rPr>
              <w:t>based</w:t>
            </w:r>
            <w:r w:rsidR="006C3DF6">
              <w:rPr>
                <w:sz w:val="20"/>
              </w:rPr>
              <w:t xml:space="preserve"> on </w:t>
            </w:r>
            <w:proofErr w:type="spellStart"/>
            <w:r w:rsidR="006C3DF6">
              <w:rPr>
                <w:sz w:val="20"/>
              </w:rPr>
              <w:t>Spalart-Allmaras</w:t>
            </w:r>
            <w:proofErr w:type="spellEnd"/>
            <w:r w:rsidR="006C3DF6">
              <w:rPr>
                <w:sz w:val="20"/>
              </w:rPr>
              <w:t>)</w:t>
            </w:r>
            <w:r w:rsidRPr="001C6355">
              <w:rPr>
                <w:sz w:val="20"/>
              </w:rPr>
              <w:t>.</w:t>
            </w:r>
          </w:p>
        </w:tc>
      </w:tr>
    </w:tbl>
    <w:p w:rsidR="004719FB" w:rsidRDefault="004719FB">
      <w:pPr>
        <w:pStyle w:val="Index"/>
        <w:suppressLineNumbers w:val="0"/>
        <w:rPr>
          <w:rFonts w:cs="Arial"/>
        </w:rPr>
      </w:pPr>
    </w:p>
    <w:p w:rsidR="00492375" w:rsidRDefault="00492375">
      <w:pPr>
        <w:pStyle w:val="Index"/>
        <w:suppressLineNumbers w:val="0"/>
        <w:rPr>
          <w:rFonts w:cs="Arial"/>
        </w:rPr>
      </w:pPr>
    </w:p>
    <w:p w:rsidR="005F00C2" w:rsidRDefault="005F00C2">
      <w:pPr>
        <w:pStyle w:val="Index"/>
        <w:suppressLineNumbers w:val="0"/>
        <w:rPr>
          <w:rFonts w:cs="Arial"/>
        </w:rPr>
      </w:pPr>
    </w:p>
    <w:p w:rsidR="005F00C2" w:rsidRDefault="005F00C2">
      <w:pPr>
        <w:pStyle w:val="Index"/>
        <w:suppressLineNumbers w:val="0"/>
        <w:rPr>
          <w:rFonts w:cs="Arial"/>
        </w:rPr>
      </w:pPr>
    </w:p>
    <w:p w:rsidR="004719FB" w:rsidRPr="0097327C" w:rsidRDefault="006C1256">
      <w:pPr>
        <w:pStyle w:val="berschrift1"/>
        <w:rPr>
          <w:rFonts w:cs="Arial"/>
          <w:lang w:val="fr-BE"/>
        </w:rPr>
      </w:pPr>
      <w:bookmarkStart w:id="8" w:name="_Toc368924901"/>
      <w:r>
        <w:rPr>
          <w:rFonts w:cs="Arial"/>
          <w:lang w:val="fr-BE"/>
        </w:rPr>
        <w:lastRenderedPageBreak/>
        <w:t>9</w:t>
      </w:r>
      <w:r w:rsidR="004719FB" w:rsidRPr="0097327C">
        <w:rPr>
          <w:rFonts w:cs="Arial"/>
          <w:lang w:val="fr-BE"/>
        </w:rPr>
        <w:t xml:space="preserve"> Non-</w:t>
      </w:r>
      <w:proofErr w:type="spellStart"/>
      <w:r w:rsidR="004719FB" w:rsidRPr="0097327C">
        <w:rPr>
          <w:rFonts w:cs="Arial"/>
          <w:lang w:val="fr-BE"/>
        </w:rPr>
        <w:t>dimensional</w:t>
      </w:r>
      <w:proofErr w:type="spellEnd"/>
      <w:r w:rsidR="004719FB" w:rsidRPr="0097327C">
        <w:rPr>
          <w:rFonts w:cs="Arial"/>
          <w:lang w:val="fr-BE"/>
        </w:rPr>
        <w:t xml:space="preserve"> </w:t>
      </w:r>
      <w:proofErr w:type="spellStart"/>
      <w:r w:rsidR="004719FB" w:rsidRPr="0097327C">
        <w:rPr>
          <w:rFonts w:cs="Arial"/>
          <w:lang w:val="fr-BE"/>
        </w:rPr>
        <w:t>quantities</w:t>
      </w:r>
      <w:bookmarkEnd w:id="8"/>
      <w:proofErr w:type="spellEnd"/>
    </w:p>
    <w:p w:rsidR="004719FB" w:rsidRPr="0097327C" w:rsidRDefault="004719FB">
      <w:pPr>
        <w:jc w:val="both"/>
        <w:rPr>
          <w:rFonts w:cs="Arial"/>
          <w:lang w:val="fr-BE"/>
        </w:rPr>
      </w:pPr>
    </w:p>
    <w:p w:rsidR="00FC0A92" w:rsidRDefault="00FC0A92" w:rsidP="00FC0A92">
      <w:pPr>
        <w:numPr>
          <w:ilvl w:val="0"/>
          <w:numId w:val="21"/>
        </w:numPr>
        <w:rPr>
          <w:lang w:val="fr-BE"/>
        </w:rPr>
      </w:pPr>
      <w:r>
        <w:rPr>
          <w:lang w:val="fr-BE"/>
        </w:rPr>
        <w:t xml:space="preserve">Reynolds </w:t>
      </w:r>
      <w:proofErr w:type="spellStart"/>
      <w:r>
        <w:rPr>
          <w:lang w:val="fr-BE"/>
        </w:rPr>
        <w:t>number</w:t>
      </w:r>
      <w:proofErr w:type="spellEnd"/>
      <w:r w:rsidR="00D73358">
        <w:rPr>
          <w:lang w:val="fr-BE"/>
        </w:rPr>
        <w:t xml:space="preserve"> of jet</w:t>
      </w:r>
      <w:r>
        <w:rPr>
          <w:lang w:val="fr-BE"/>
        </w:rPr>
        <w:t xml:space="preserve"> </w:t>
      </w:r>
      <w:r w:rsidRPr="00FC0A92">
        <w:rPr>
          <w:i/>
          <w:lang w:val="fr-BE"/>
        </w:rPr>
        <w:t>Re</w:t>
      </w:r>
      <w:r w:rsidR="00D73358">
        <w:rPr>
          <w:vertAlign w:val="subscript"/>
          <w:lang w:val="fr-BE"/>
        </w:rPr>
        <w:t>D</w:t>
      </w:r>
      <w:r>
        <w:rPr>
          <w:lang w:val="fr-BE"/>
        </w:rPr>
        <w:t xml:space="preserve"> = </w:t>
      </w:r>
      <w:r w:rsidR="00D73358">
        <w:rPr>
          <w:lang w:val="fr-BE"/>
        </w:rPr>
        <w:t>U</w:t>
      </w:r>
      <w:r w:rsidR="00D73358">
        <w:rPr>
          <w:rFonts w:ascii="Times" w:hAnsi="Times" w:cs="Arial"/>
          <w:vertAlign w:val="subscript"/>
          <w:lang w:val="fr-BE"/>
        </w:rPr>
        <w:t>jet</w:t>
      </w:r>
      <w:r>
        <w:rPr>
          <w:lang w:val="fr-BE"/>
        </w:rPr>
        <w:t xml:space="preserve"> </w:t>
      </w:r>
      <w:r w:rsidR="00D73358">
        <w:rPr>
          <w:lang w:val="fr-BE"/>
        </w:rPr>
        <w:t xml:space="preserve">D </w:t>
      </w:r>
      <w:r w:rsidR="00D73358">
        <w:rPr>
          <w:rFonts w:cs="Arial"/>
          <w:lang w:val="fr-BE"/>
        </w:rPr>
        <w:t>ρ</w:t>
      </w:r>
      <w:r w:rsidR="00D73358" w:rsidRPr="00D73358">
        <w:rPr>
          <w:vertAlign w:val="subscript"/>
          <w:lang w:val="fr-BE"/>
        </w:rPr>
        <w:t>0</w:t>
      </w:r>
      <w:r>
        <w:rPr>
          <w:lang w:val="fr-BE"/>
        </w:rPr>
        <w:t xml:space="preserve"> / </w:t>
      </w:r>
      <w:r w:rsidR="00D73358">
        <w:rPr>
          <w:rFonts w:cs="Arial"/>
          <w:lang w:val="fr-BE"/>
        </w:rPr>
        <w:t>μ</w:t>
      </w:r>
      <w:r w:rsidR="00D73358" w:rsidRPr="00D73358">
        <w:rPr>
          <w:vertAlign w:val="subscript"/>
          <w:lang w:val="fr-BE"/>
        </w:rPr>
        <w:t>0</w:t>
      </w:r>
      <w:r>
        <w:rPr>
          <w:lang w:val="fr-BE"/>
        </w:rPr>
        <w:t xml:space="preserve">, </w:t>
      </w:r>
      <w:proofErr w:type="spellStart"/>
      <w:r>
        <w:rPr>
          <w:lang w:val="fr-BE"/>
        </w:rPr>
        <w:t>w</w:t>
      </w:r>
      <w:r w:rsidR="00186DFC">
        <w:rPr>
          <w:lang w:val="fr-BE"/>
        </w:rPr>
        <w:t>here</w:t>
      </w:r>
      <w:proofErr w:type="spellEnd"/>
      <w:r w:rsidR="00186DFC">
        <w:rPr>
          <w:lang w:val="fr-BE"/>
        </w:rPr>
        <w:t xml:space="preserve"> D </w:t>
      </w:r>
      <w:proofErr w:type="spellStart"/>
      <w:r w:rsidR="00186DFC">
        <w:rPr>
          <w:lang w:val="fr-BE"/>
        </w:rPr>
        <w:t>is</w:t>
      </w:r>
      <w:proofErr w:type="spellEnd"/>
      <w:r w:rsidR="00186DFC">
        <w:rPr>
          <w:lang w:val="fr-BE"/>
        </w:rPr>
        <w:t xml:space="preserve"> the exit </w:t>
      </w:r>
      <w:proofErr w:type="spellStart"/>
      <w:r w:rsidR="00186DFC">
        <w:rPr>
          <w:lang w:val="fr-BE"/>
        </w:rPr>
        <w:t>nozzle</w:t>
      </w:r>
      <w:proofErr w:type="spellEnd"/>
      <w:r w:rsidR="00186DFC">
        <w:rPr>
          <w:lang w:val="fr-BE"/>
        </w:rPr>
        <w:t xml:space="preserve"> diameter, U</w:t>
      </w:r>
      <w:r w:rsidR="00186DFC">
        <w:rPr>
          <w:rFonts w:ascii="Times" w:hAnsi="Times" w:cs="Arial"/>
          <w:vertAlign w:val="subscript"/>
          <w:lang w:val="fr-BE"/>
        </w:rPr>
        <w:t>jet</w:t>
      </w:r>
      <w:r>
        <w:t xml:space="preserve"> the</w:t>
      </w:r>
      <w:r w:rsidR="00186DFC">
        <w:t xml:space="preserve"> fully-expanded jet velocity, </w:t>
      </w:r>
      <w:r w:rsidR="00186DFC">
        <w:rPr>
          <w:rFonts w:cs="Arial"/>
          <w:lang w:val="fr-BE"/>
        </w:rPr>
        <w:t>ρ</w:t>
      </w:r>
      <w:r w:rsidR="00186DFC" w:rsidRPr="00D73358">
        <w:rPr>
          <w:vertAlign w:val="subscript"/>
          <w:lang w:val="fr-BE"/>
        </w:rPr>
        <w:t>0</w:t>
      </w:r>
      <w:r>
        <w:t xml:space="preserve"> </w:t>
      </w:r>
      <w:r w:rsidR="00186DFC">
        <w:t xml:space="preserve">the ambient density and </w:t>
      </w:r>
      <w:r w:rsidR="00186DFC">
        <w:rPr>
          <w:rFonts w:cs="Arial"/>
          <w:lang w:val="fr-BE"/>
        </w:rPr>
        <w:t>μ</w:t>
      </w:r>
      <w:r w:rsidR="00186DFC" w:rsidRPr="00D73358">
        <w:rPr>
          <w:vertAlign w:val="subscript"/>
          <w:lang w:val="fr-BE"/>
        </w:rPr>
        <w:t>0</w:t>
      </w:r>
      <w:r w:rsidR="00186DFC">
        <w:t xml:space="preserve"> the ambient dynamic viscosity</w:t>
      </w:r>
      <w:r>
        <w:rPr>
          <w:lang w:val="fr-BE"/>
        </w:rPr>
        <w:t xml:space="preserve">. </w:t>
      </w:r>
    </w:p>
    <w:p w:rsidR="00D93997" w:rsidRDefault="00D93997" w:rsidP="00FC0A92">
      <w:pPr>
        <w:numPr>
          <w:ilvl w:val="0"/>
          <w:numId w:val="21"/>
        </w:numPr>
        <w:rPr>
          <w:lang w:val="fr-BE"/>
        </w:rPr>
      </w:pPr>
      <w:r>
        <w:rPr>
          <w:lang w:val="fr-BE"/>
        </w:rPr>
        <w:t>Convective Time Unit (CTU): time made non-</w:t>
      </w:r>
      <w:proofErr w:type="spellStart"/>
      <w:r>
        <w:rPr>
          <w:lang w:val="fr-BE"/>
        </w:rPr>
        <w:t>dimensional</w:t>
      </w:r>
      <w:proofErr w:type="spellEnd"/>
      <w:r>
        <w:rPr>
          <w:lang w:val="fr-BE"/>
        </w:rPr>
        <w:t xml:space="preserve"> with </w:t>
      </w:r>
      <w:r w:rsidR="00766B51">
        <w:rPr>
          <w:lang w:val="fr-BE"/>
        </w:rPr>
        <w:t>U</w:t>
      </w:r>
      <w:r w:rsidR="00766B51">
        <w:rPr>
          <w:rFonts w:ascii="Times" w:hAnsi="Times" w:cs="Arial"/>
          <w:vertAlign w:val="subscript"/>
          <w:lang w:val="fr-BE"/>
        </w:rPr>
        <w:t>jet</w:t>
      </w:r>
      <w:r>
        <w:rPr>
          <w:lang w:val="fr-BE"/>
        </w:rPr>
        <w:t xml:space="preserve"> and </w:t>
      </w:r>
      <w:r w:rsidR="00766B51">
        <w:rPr>
          <w:lang w:val="fr-BE"/>
        </w:rPr>
        <w:t>D</w:t>
      </w:r>
      <w:r w:rsidR="00445902">
        <w:rPr>
          <w:lang w:val="fr-BE"/>
        </w:rPr>
        <w:t xml:space="preserve"> (i.e., 1 CTU = </w:t>
      </w:r>
      <w:r w:rsidR="00C848EF">
        <w:rPr>
          <w:lang w:val="fr-BE"/>
        </w:rPr>
        <w:t>D</w:t>
      </w:r>
      <w:r w:rsidR="00445902">
        <w:rPr>
          <w:lang w:val="fr-BE"/>
        </w:rPr>
        <w:t xml:space="preserve"> / </w:t>
      </w:r>
      <w:r w:rsidR="00C848EF">
        <w:rPr>
          <w:lang w:val="fr-BE"/>
        </w:rPr>
        <w:t>U</w:t>
      </w:r>
      <w:r w:rsidR="00C848EF">
        <w:rPr>
          <w:rFonts w:ascii="Times" w:hAnsi="Times" w:cs="Arial"/>
          <w:vertAlign w:val="subscript"/>
          <w:lang w:val="fr-BE"/>
        </w:rPr>
        <w:t>jet</w:t>
      </w:r>
      <w:r w:rsidR="00445902">
        <w:rPr>
          <w:lang w:val="fr-BE"/>
        </w:rPr>
        <w:t>).</w:t>
      </w:r>
    </w:p>
    <w:p w:rsidR="008859E7" w:rsidRDefault="008859E7" w:rsidP="00FC0A92">
      <w:pPr>
        <w:numPr>
          <w:ilvl w:val="0"/>
          <w:numId w:val="21"/>
        </w:numPr>
        <w:rPr>
          <w:lang w:val="fr-BE"/>
        </w:rPr>
      </w:pPr>
      <w:proofErr w:type="spellStart"/>
      <w:r>
        <w:rPr>
          <w:lang w:val="fr-BE"/>
        </w:rPr>
        <w:t>Strouhal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number</w:t>
      </w:r>
      <w:proofErr w:type="spellEnd"/>
      <w:r>
        <w:rPr>
          <w:lang w:val="fr-BE"/>
        </w:rPr>
        <w:t xml:space="preserve"> : </w:t>
      </w:r>
      <w:r w:rsidR="009F0B87">
        <w:rPr>
          <w:lang w:val="fr-BE"/>
        </w:rPr>
        <w:t>non-</w:t>
      </w:r>
      <w:proofErr w:type="spellStart"/>
      <w:r w:rsidR="009F0B87">
        <w:rPr>
          <w:lang w:val="fr-BE"/>
        </w:rPr>
        <w:t>dimensional</w:t>
      </w:r>
      <w:proofErr w:type="spellEnd"/>
      <w:r w:rsidR="009F0B87">
        <w:rPr>
          <w:lang w:val="fr-BE"/>
        </w:rPr>
        <w:t xml:space="preserve"> </w:t>
      </w:r>
      <w:proofErr w:type="spellStart"/>
      <w:r w:rsidR="009F0B87">
        <w:rPr>
          <w:lang w:val="fr-BE"/>
        </w:rPr>
        <w:t>frequency</w:t>
      </w:r>
      <w:proofErr w:type="spellEnd"/>
      <w:r w:rsidR="009F0B87">
        <w:rPr>
          <w:lang w:val="fr-BE"/>
        </w:rPr>
        <w:t xml:space="preserve"> </w:t>
      </w:r>
      <w:proofErr w:type="spellStart"/>
      <w:r w:rsidR="009F0B87">
        <w:rPr>
          <w:lang w:val="fr-BE"/>
        </w:rPr>
        <w:t>defined</w:t>
      </w:r>
      <w:proofErr w:type="spellEnd"/>
      <w:r w:rsidR="009F0B87">
        <w:rPr>
          <w:lang w:val="fr-BE"/>
        </w:rPr>
        <w:t xml:space="preserve"> as </w:t>
      </w:r>
      <w:r>
        <w:rPr>
          <w:lang w:val="fr-BE"/>
        </w:rPr>
        <w:t xml:space="preserve">St = </w:t>
      </w:r>
      <w:proofErr w:type="spellStart"/>
      <w:r>
        <w:rPr>
          <w:lang w:val="fr-BE"/>
        </w:rPr>
        <w:t>fD</w:t>
      </w:r>
      <w:proofErr w:type="spellEnd"/>
      <w:r>
        <w:rPr>
          <w:lang w:val="fr-BE"/>
        </w:rPr>
        <w:t>/U</w:t>
      </w:r>
      <w:r>
        <w:rPr>
          <w:rFonts w:ascii="Times" w:hAnsi="Times" w:cs="Arial"/>
          <w:vertAlign w:val="subscript"/>
          <w:lang w:val="fr-BE"/>
        </w:rPr>
        <w:t>jet</w:t>
      </w:r>
      <w:r w:rsidR="009F0B87">
        <w:rPr>
          <w:rFonts w:ascii="Times" w:hAnsi="Times" w:cs="Arial"/>
          <w:lang w:val="fr-BE"/>
        </w:rPr>
        <w:t>.</w:t>
      </w:r>
    </w:p>
    <w:p w:rsidR="004719FB" w:rsidRPr="0097327C" w:rsidRDefault="004719FB">
      <w:pPr>
        <w:jc w:val="both"/>
        <w:rPr>
          <w:rFonts w:cs="Arial"/>
          <w:lang w:val="fr-BE"/>
        </w:rPr>
      </w:pPr>
    </w:p>
    <w:p w:rsidR="004719FB" w:rsidRDefault="004719FB">
      <w:pPr>
        <w:pStyle w:val="berschrift1"/>
        <w:rPr>
          <w:rFonts w:cs="Arial"/>
        </w:rPr>
      </w:pPr>
      <w:bookmarkStart w:id="9" w:name="_Toc368924902"/>
      <w:r>
        <w:rPr>
          <w:rFonts w:cs="Arial"/>
        </w:rPr>
        <w:t>1</w:t>
      </w:r>
      <w:r w:rsidR="006C1256">
        <w:rPr>
          <w:rFonts w:cs="Arial"/>
        </w:rPr>
        <w:t>0</w:t>
      </w:r>
      <w:r>
        <w:rPr>
          <w:rFonts w:cs="Arial"/>
        </w:rPr>
        <w:t xml:space="preserve"> Grids</w:t>
      </w:r>
      <w:bookmarkEnd w:id="9"/>
    </w:p>
    <w:p w:rsidR="004719FB" w:rsidRDefault="004719FB">
      <w:pPr>
        <w:pStyle w:val="Heading"/>
        <w:rPr>
          <w:rFonts w:cs="Arial"/>
        </w:rPr>
      </w:pPr>
    </w:p>
    <w:p w:rsidR="000C1799" w:rsidRDefault="007B077B" w:rsidP="001A4824">
      <w:pPr>
        <w:jc w:val="both"/>
        <w:rPr>
          <w:rFonts w:cs="Arial"/>
        </w:rPr>
      </w:pPr>
      <w:r>
        <w:rPr>
          <w:rFonts w:cs="Arial"/>
        </w:rPr>
        <w:t>Four</w:t>
      </w:r>
      <w:r w:rsidR="00233CDA">
        <w:rPr>
          <w:rFonts w:cs="Arial"/>
        </w:rPr>
        <w:t xml:space="preserve"> different </w:t>
      </w:r>
      <w:r w:rsidR="00FF60B6">
        <w:rPr>
          <w:rFonts w:cs="Arial"/>
        </w:rPr>
        <w:t>multi-</w:t>
      </w:r>
      <w:r w:rsidR="00A1611F">
        <w:rPr>
          <w:rFonts w:cs="Arial"/>
        </w:rPr>
        <w:t>block</w:t>
      </w:r>
      <w:r w:rsidR="00FF60B6">
        <w:rPr>
          <w:rFonts w:cs="Arial"/>
        </w:rPr>
        <w:t xml:space="preserve"> </w:t>
      </w:r>
      <w:r w:rsidR="00233CDA">
        <w:rPr>
          <w:rFonts w:cs="Arial"/>
        </w:rPr>
        <w:t>structured grids</w:t>
      </w:r>
      <w:r w:rsidR="00715F96">
        <w:rPr>
          <w:rFonts w:cs="Arial"/>
        </w:rPr>
        <w:t xml:space="preserve"> are provided by NTS,</w:t>
      </w:r>
      <w:r w:rsidR="00A1611F">
        <w:rPr>
          <w:rFonts w:cs="Arial"/>
        </w:rPr>
        <w:t xml:space="preserve"> which were examined in </w:t>
      </w:r>
      <w:proofErr w:type="spellStart"/>
      <w:r w:rsidR="00267D45">
        <w:rPr>
          <w:rFonts w:cs="Arial"/>
        </w:rPr>
        <w:t>Shur</w:t>
      </w:r>
      <w:proofErr w:type="spellEnd"/>
      <w:r w:rsidR="00267D45">
        <w:rPr>
          <w:rFonts w:cs="Arial"/>
        </w:rPr>
        <w:t xml:space="preserve"> et al. 2005 and </w:t>
      </w:r>
      <w:proofErr w:type="spellStart"/>
      <w:r w:rsidR="00A1611F">
        <w:rPr>
          <w:rFonts w:cs="Arial"/>
        </w:rPr>
        <w:t>Shur</w:t>
      </w:r>
      <w:proofErr w:type="spellEnd"/>
      <w:r w:rsidR="00A1611F">
        <w:rPr>
          <w:rFonts w:cs="Arial"/>
        </w:rPr>
        <w:t xml:space="preserve"> et al. 2011. All grids feature</w:t>
      </w:r>
      <w:r w:rsidR="00F641DC">
        <w:rPr>
          <w:rFonts w:cs="Arial"/>
        </w:rPr>
        <w:t xml:space="preserve"> the same topological structure, i.e. an inner </w:t>
      </w:r>
      <w:r w:rsidR="001C2545">
        <w:rPr>
          <w:rFonts w:cs="Arial"/>
        </w:rPr>
        <w:t>H-topology</w:t>
      </w:r>
      <w:r w:rsidR="00F641DC">
        <w:rPr>
          <w:rFonts w:cs="Arial"/>
        </w:rPr>
        <w:t xml:space="preserve"> block</w:t>
      </w:r>
      <w:r w:rsidR="00A1611F">
        <w:rPr>
          <w:rFonts w:cs="Arial"/>
        </w:rPr>
        <w:t xml:space="preserve"> at the jet axis</w:t>
      </w:r>
      <w:r w:rsidR="00F641DC">
        <w:rPr>
          <w:rFonts w:cs="Arial"/>
        </w:rPr>
        <w:t xml:space="preserve"> </w:t>
      </w:r>
      <w:r w:rsidR="00232D1A">
        <w:rPr>
          <w:rFonts w:cs="Arial"/>
        </w:rPr>
        <w:t>surrounded</w:t>
      </w:r>
      <w:r w:rsidR="00F641DC">
        <w:rPr>
          <w:rFonts w:cs="Arial"/>
        </w:rPr>
        <w:t xml:space="preserve"> by an outer </w:t>
      </w:r>
      <w:r w:rsidR="00232D1A">
        <w:rPr>
          <w:rFonts w:cs="Arial"/>
        </w:rPr>
        <w:t>O-topology</w:t>
      </w:r>
      <w:r w:rsidR="00F641DC">
        <w:rPr>
          <w:rFonts w:cs="Arial"/>
        </w:rPr>
        <w:t xml:space="preserve"> block.</w:t>
      </w:r>
      <w:r w:rsidR="00EA4372">
        <w:rPr>
          <w:rFonts w:cs="Arial"/>
        </w:rPr>
        <w:t xml:space="preserve"> Characteristic quantities of all grids are </w:t>
      </w:r>
      <w:r>
        <w:rPr>
          <w:rFonts w:cs="Arial"/>
        </w:rPr>
        <w:t>listed</w:t>
      </w:r>
      <w:r w:rsidR="007B5C4C">
        <w:rPr>
          <w:rFonts w:cs="Arial"/>
        </w:rPr>
        <w:t xml:space="preserve"> in Table 2</w:t>
      </w:r>
      <w:r w:rsidR="00EA4372">
        <w:rPr>
          <w:rFonts w:cs="Arial"/>
        </w:rPr>
        <w:t>.</w:t>
      </w:r>
      <w:r>
        <w:rPr>
          <w:rFonts w:cs="Arial"/>
        </w:rPr>
        <w:t xml:space="preserve"> Note that grid</w:t>
      </w:r>
      <w:r w:rsidR="00524E8B">
        <w:rPr>
          <w:rFonts w:cs="Arial"/>
        </w:rPr>
        <w:t>s G2 and G3</w:t>
      </w:r>
      <w:r>
        <w:rPr>
          <w:rFonts w:cs="Arial"/>
        </w:rPr>
        <w:t xml:space="preserve"> differ only by the doubled number of nodes in the azimuthal direction, whereas for grid G4 the </w:t>
      </w:r>
      <w:proofErr w:type="spellStart"/>
      <w:r>
        <w:rPr>
          <w:rFonts w:cs="Arial"/>
        </w:rPr>
        <w:t>spacings</w:t>
      </w:r>
      <w:proofErr w:type="spellEnd"/>
      <w:r>
        <w:rPr>
          <w:rFonts w:cs="Arial"/>
        </w:rPr>
        <w:t xml:space="preserve"> in all three spatial directions in the region of interest are reduced by a factor of roughly 1.5.</w:t>
      </w:r>
      <w:r w:rsidR="0039715E">
        <w:rPr>
          <w:rFonts w:cs="Arial"/>
        </w:rPr>
        <w:t xml:space="preserve"> In </w:t>
      </w:r>
      <w:proofErr w:type="spellStart"/>
      <w:r w:rsidR="0039715E">
        <w:rPr>
          <w:rFonts w:cs="Arial"/>
        </w:rPr>
        <w:t>Shur</w:t>
      </w:r>
      <w:proofErr w:type="spellEnd"/>
      <w:r w:rsidR="0039715E">
        <w:rPr>
          <w:rFonts w:cs="Arial"/>
        </w:rPr>
        <w:t xml:space="preserve"> et al. 2011</w:t>
      </w:r>
      <w:r w:rsidR="00593071">
        <w:rPr>
          <w:rFonts w:cs="Arial"/>
        </w:rPr>
        <w:t>,</w:t>
      </w:r>
      <w:r w:rsidR="0039715E">
        <w:rPr>
          <w:rFonts w:cs="Arial"/>
        </w:rPr>
        <w:t xml:space="preserve"> it is stated that the </w:t>
      </w:r>
      <w:r w:rsidR="009B7FB0">
        <w:rPr>
          <w:rFonts w:cs="Arial"/>
        </w:rPr>
        <w:t xml:space="preserve">(estimated) </w:t>
      </w:r>
      <w:r w:rsidR="0039715E">
        <w:rPr>
          <w:rFonts w:cs="Arial"/>
        </w:rPr>
        <w:t xml:space="preserve">highest </w:t>
      </w:r>
      <w:proofErr w:type="spellStart"/>
      <w:r w:rsidR="0039715E">
        <w:rPr>
          <w:rFonts w:cs="Arial"/>
        </w:rPr>
        <w:t>Strouhal</w:t>
      </w:r>
      <w:proofErr w:type="spellEnd"/>
      <w:r w:rsidR="0039715E">
        <w:rPr>
          <w:rFonts w:cs="Arial"/>
        </w:rPr>
        <w:t xml:space="preserve"> number which is resolved by the grids is around St=2.5 for G1, St=7 for G2 and G3, and St=12 for G4, respectively (based on the assumption that 8 cells per wave length are sufficient for an accurate representation of sound propagation). </w:t>
      </w:r>
      <w:r w:rsidR="00760C0A">
        <w:rPr>
          <w:rFonts w:cs="Arial"/>
        </w:rPr>
        <w:t>Grid G3 was selected as mandatory, however all project partners who are conducting the test ca</w:t>
      </w:r>
      <w:r w:rsidR="00264430">
        <w:rPr>
          <w:rFonts w:cs="Arial"/>
        </w:rPr>
        <w:t>se are encouraged to investigate grid resolution dependency of</w:t>
      </w:r>
      <w:r w:rsidR="00BB4C16">
        <w:rPr>
          <w:rFonts w:cs="Arial"/>
        </w:rPr>
        <w:t xml:space="preserve"> their</w:t>
      </w:r>
      <w:r w:rsidR="00264430">
        <w:rPr>
          <w:rFonts w:cs="Arial"/>
        </w:rPr>
        <w:t xml:space="preserve"> results.</w:t>
      </w:r>
    </w:p>
    <w:p w:rsidR="00EC7138" w:rsidRDefault="00EC7138" w:rsidP="001A4824">
      <w:pPr>
        <w:jc w:val="both"/>
        <w:rPr>
          <w:rFonts w:cs="Arial"/>
        </w:rPr>
      </w:pPr>
    </w:p>
    <w:p w:rsidR="000C1799" w:rsidRDefault="000C1799" w:rsidP="001A4824">
      <w:pPr>
        <w:jc w:val="both"/>
        <w:rPr>
          <w:rFonts w:cs="Arial"/>
        </w:rPr>
      </w:pPr>
    </w:p>
    <w:p w:rsidR="00233CDA" w:rsidRDefault="00233CDA" w:rsidP="001A4824">
      <w:pPr>
        <w:jc w:val="both"/>
        <w:rPr>
          <w:rFonts w:cs="Arial"/>
        </w:rPr>
      </w:pPr>
    </w:p>
    <w:tbl>
      <w:tblPr>
        <w:tblStyle w:val="Tabellenraster"/>
        <w:tblW w:w="0" w:type="auto"/>
        <w:jc w:val="center"/>
        <w:tblInd w:w="600" w:type="dxa"/>
        <w:tblLook w:val="04A0" w:firstRow="1" w:lastRow="0" w:firstColumn="1" w:lastColumn="0" w:noHBand="0" w:noVBand="1"/>
      </w:tblPr>
      <w:tblGrid>
        <w:gridCol w:w="2038"/>
        <w:gridCol w:w="1427"/>
        <w:gridCol w:w="1428"/>
        <w:gridCol w:w="1428"/>
        <w:gridCol w:w="1428"/>
        <w:gridCol w:w="1428"/>
      </w:tblGrid>
      <w:tr w:rsidR="00D7794B" w:rsidTr="002C0178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94B" w:rsidRPr="001D6812" w:rsidRDefault="00D7794B" w:rsidP="001A4824">
            <w:pPr>
              <w:jc w:val="both"/>
              <w:rPr>
                <w:rFonts w:cs="Arial"/>
                <w:b/>
              </w:rPr>
            </w:pPr>
            <w:r w:rsidRPr="001D6812">
              <w:rPr>
                <w:rFonts w:cs="Arial"/>
                <w:b/>
              </w:rPr>
              <w:t>Grid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94B" w:rsidRPr="001D6812" w:rsidRDefault="00D7794B" w:rsidP="00277468">
            <w:pPr>
              <w:jc w:val="center"/>
              <w:rPr>
                <w:rFonts w:cs="Arial"/>
                <w:b/>
              </w:rPr>
            </w:pPr>
            <w:r w:rsidRPr="001D6812">
              <w:rPr>
                <w:rFonts w:cs="Arial"/>
                <w:b/>
              </w:rPr>
              <w:t>Nx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94B" w:rsidRPr="001D6812" w:rsidRDefault="00D7794B" w:rsidP="00277468">
            <w:pPr>
              <w:jc w:val="center"/>
              <w:rPr>
                <w:rFonts w:cs="Arial"/>
                <w:b/>
              </w:rPr>
            </w:pPr>
            <w:r w:rsidRPr="001D6812">
              <w:rPr>
                <w:rFonts w:cs="Arial"/>
                <w:b/>
              </w:rPr>
              <w:t>Nr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94B" w:rsidRPr="001D6812" w:rsidRDefault="00D7794B" w:rsidP="00277468">
            <w:pPr>
              <w:jc w:val="center"/>
              <w:rPr>
                <w:rFonts w:cs="Arial"/>
                <w:b/>
              </w:rPr>
            </w:pPr>
            <w:proofErr w:type="spellStart"/>
            <w:r w:rsidRPr="001D6812">
              <w:rPr>
                <w:rFonts w:cs="Arial"/>
                <w:b/>
              </w:rPr>
              <w:t>Nφ</w:t>
            </w:r>
            <w:proofErr w:type="spellEnd"/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94B" w:rsidRPr="001D6812" w:rsidRDefault="00D7794B" w:rsidP="00277468">
            <w:pPr>
              <w:jc w:val="center"/>
              <w:rPr>
                <w:rFonts w:cs="Arial"/>
                <w:b/>
              </w:rPr>
            </w:pPr>
            <w:r w:rsidRPr="001D6812">
              <w:rPr>
                <w:rFonts w:cs="Arial"/>
                <w:b/>
              </w:rPr>
              <w:t>Time step,</w:t>
            </w:r>
          </w:p>
          <w:p w:rsidR="00D7794B" w:rsidRPr="001D6812" w:rsidRDefault="00D7794B" w:rsidP="00277468">
            <w:pPr>
              <w:jc w:val="center"/>
              <w:rPr>
                <w:rFonts w:cs="Arial"/>
                <w:b/>
              </w:rPr>
            </w:pPr>
            <w:proofErr w:type="spellStart"/>
            <w:r w:rsidRPr="001D6812">
              <w:rPr>
                <w:rFonts w:cs="Arial"/>
                <w:b/>
              </w:rPr>
              <w:t>Δt</w:t>
            </w:r>
            <w:proofErr w:type="spellEnd"/>
            <w:r w:rsidRPr="001D6812">
              <w:rPr>
                <w:rFonts w:cs="Arial"/>
                <w:b/>
              </w:rPr>
              <w:t xml:space="preserve"> U</w:t>
            </w:r>
            <w:r w:rsidRPr="001D6812">
              <w:rPr>
                <w:rFonts w:cs="Arial"/>
                <w:b/>
                <w:vertAlign w:val="subscript"/>
              </w:rPr>
              <w:t>jet</w:t>
            </w:r>
            <w:r w:rsidRPr="001D6812">
              <w:rPr>
                <w:rFonts w:cs="Arial"/>
                <w:b/>
              </w:rPr>
              <w:t xml:space="preserve"> / D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94B" w:rsidRPr="001D6812" w:rsidRDefault="001D6812" w:rsidP="00277468">
            <w:pPr>
              <w:jc w:val="center"/>
              <w:rPr>
                <w:rFonts w:cs="Arial"/>
                <w:b/>
              </w:rPr>
            </w:pPr>
            <w:r w:rsidRPr="001D6812">
              <w:rPr>
                <w:rFonts w:cs="Arial"/>
                <w:b/>
              </w:rPr>
              <w:t>Cell count</w:t>
            </w:r>
          </w:p>
        </w:tc>
      </w:tr>
      <w:tr w:rsidR="00D7794B" w:rsidTr="002C0178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94B" w:rsidRDefault="00D7794B" w:rsidP="001A48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G1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308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0.020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94B" w:rsidRDefault="00FF63F3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  <w:r w:rsidR="00277468">
              <w:rPr>
                <w:rFonts w:cs="Arial"/>
              </w:rPr>
              <w:t xml:space="preserve"> M</w:t>
            </w:r>
          </w:p>
        </w:tc>
      </w:tr>
      <w:tr w:rsidR="00D7794B" w:rsidTr="002C0178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D7794B" w:rsidP="001A48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277468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4.2 M</w:t>
            </w:r>
          </w:p>
        </w:tc>
      </w:tr>
      <w:tr w:rsidR="00D7794B" w:rsidTr="002C0178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D7794B" w:rsidP="001A48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G3 (mandatory)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7794B" w:rsidRDefault="00277468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8.4 M </w:t>
            </w:r>
          </w:p>
        </w:tc>
      </w:tr>
      <w:tr w:rsidR="00D7794B" w:rsidTr="008277B7">
        <w:trPr>
          <w:jc w:val="center"/>
        </w:trPr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94B" w:rsidRDefault="00D7794B" w:rsidP="001544A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G4</w:t>
            </w:r>
            <w:r w:rsidR="001544A4">
              <w:rPr>
                <w:rFonts w:cs="Arial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94B" w:rsidRDefault="00084131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94B" w:rsidRDefault="00277468" w:rsidP="0027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 M</w:t>
            </w:r>
          </w:p>
        </w:tc>
      </w:tr>
      <w:tr w:rsidR="008277B7" w:rsidTr="001D606F">
        <w:trPr>
          <w:jc w:val="center"/>
        </w:trPr>
        <w:tc>
          <w:tcPr>
            <w:tcW w:w="917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77B7" w:rsidRPr="00780764" w:rsidRDefault="008277B7" w:rsidP="004F0F7F">
            <w:pPr>
              <w:rPr>
                <w:rFonts w:cs="Arial"/>
                <w:sz w:val="20"/>
              </w:rPr>
            </w:pPr>
            <w:r w:rsidRPr="00780764">
              <w:rPr>
                <w:rFonts w:cs="Arial"/>
                <w:b/>
                <w:sz w:val="20"/>
              </w:rPr>
              <w:t>Tab</w:t>
            </w:r>
            <w:r w:rsidR="00E32303" w:rsidRPr="00780764">
              <w:rPr>
                <w:rFonts w:cs="Arial"/>
                <w:b/>
                <w:sz w:val="20"/>
              </w:rPr>
              <w:t>le</w:t>
            </w:r>
            <w:r w:rsidRPr="00780764">
              <w:rPr>
                <w:rFonts w:cs="Arial"/>
                <w:b/>
                <w:sz w:val="20"/>
              </w:rPr>
              <w:t xml:space="preserve"> </w:t>
            </w:r>
            <w:r w:rsidR="002A37A3">
              <w:rPr>
                <w:rFonts w:cs="Arial"/>
                <w:b/>
                <w:sz w:val="20"/>
              </w:rPr>
              <w:t>2</w:t>
            </w:r>
            <w:r w:rsidRPr="00780764">
              <w:rPr>
                <w:rFonts w:cs="Arial"/>
                <w:b/>
                <w:sz w:val="20"/>
              </w:rPr>
              <w:t>:</w:t>
            </w:r>
            <w:r w:rsidRPr="00780764">
              <w:rPr>
                <w:rFonts w:cs="Arial"/>
                <w:sz w:val="20"/>
              </w:rPr>
              <w:t xml:space="preserve"> Parameters of computational grids. </w:t>
            </w:r>
            <w:proofErr w:type="spellStart"/>
            <w:r w:rsidRPr="00780764">
              <w:rPr>
                <w:rFonts w:cs="Arial"/>
                <w:sz w:val="20"/>
              </w:rPr>
              <w:t>Nx</w:t>
            </w:r>
            <w:proofErr w:type="spellEnd"/>
            <w:r w:rsidRPr="00780764">
              <w:rPr>
                <w:rFonts w:cs="Arial"/>
                <w:sz w:val="20"/>
              </w:rPr>
              <w:t xml:space="preserve">, Nr, </w:t>
            </w:r>
            <w:proofErr w:type="spellStart"/>
            <w:r w:rsidRPr="00780764">
              <w:rPr>
                <w:rFonts w:cs="Arial"/>
                <w:sz w:val="20"/>
              </w:rPr>
              <w:t>Nφ</w:t>
            </w:r>
            <w:proofErr w:type="spellEnd"/>
            <w:r w:rsidRPr="00780764">
              <w:rPr>
                <w:rFonts w:cs="Arial"/>
                <w:sz w:val="20"/>
              </w:rPr>
              <w:t xml:space="preserve"> denote the sizes of the </w:t>
            </w:r>
            <w:r w:rsidR="00591137" w:rsidRPr="00780764">
              <w:rPr>
                <w:rFonts w:cs="Arial"/>
                <w:sz w:val="20"/>
              </w:rPr>
              <w:t>outer</w:t>
            </w:r>
            <w:r w:rsidRPr="00780764">
              <w:rPr>
                <w:rFonts w:cs="Arial"/>
                <w:sz w:val="20"/>
              </w:rPr>
              <w:t xml:space="preserve"> cylindrical block.</w:t>
            </w:r>
          </w:p>
        </w:tc>
      </w:tr>
    </w:tbl>
    <w:p w:rsidR="00D7794B" w:rsidRDefault="00D7794B" w:rsidP="001A4824">
      <w:pPr>
        <w:jc w:val="both"/>
        <w:rPr>
          <w:rFonts w:cs="Arial"/>
        </w:rPr>
      </w:pPr>
    </w:p>
    <w:p w:rsidR="004719FB" w:rsidRDefault="004719FB"/>
    <w:p w:rsidR="004719FB" w:rsidRDefault="006C1256">
      <w:pPr>
        <w:pStyle w:val="berschrift1"/>
        <w:rPr>
          <w:rFonts w:cs="Arial"/>
        </w:rPr>
      </w:pPr>
      <w:bookmarkStart w:id="10" w:name="_Toc368924903"/>
      <w:r>
        <w:rPr>
          <w:rFonts w:cs="Arial"/>
        </w:rPr>
        <w:t>11</w:t>
      </w:r>
      <w:r w:rsidR="004719FB">
        <w:rPr>
          <w:rFonts w:cs="Arial"/>
        </w:rPr>
        <w:t xml:space="preserve"> Computational guidelines</w:t>
      </w:r>
      <w:bookmarkEnd w:id="10"/>
    </w:p>
    <w:p w:rsidR="004719FB" w:rsidRDefault="004719FB"/>
    <w:p w:rsidR="00D93997" w:rsidRPr="00D93997" w:rsidRDefault="00D93997" w:rsidP="001A4824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D93997">
        <w:rPr>
          <w:rFonts w:cs="Arial"/>
        </w:rPr>
        <w:t>Initial solution: steady-state RANS solution.</w:t>
      </w:r>
    </w:p>
    <w:p w:rsidR="00D93997" w:rsidRPr="001948C9" w:rsidRDefault="00D93997" w:rsidP="001A4824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D93997">
        <w:rPr>
          <w:rFonts w:cs="Arial"/>
        </w:rPr>
        <w:t>Time step</w:t>
      </w:r>
      <w:r w:rsidR="006E6E8D">
        <w:rPr>
          <w:rFonts w:cs="Arial"/>
        </w:rPr>
        <w:t xml:space="preserve"> depende</w:t>
      </w:r>
      <w:r w:rsidR="00B32503">
        <w:rPr>
          <w:rFonts w:cs="Arial"/>
        </w:rPr>
        <w:t>nt on the mesh size (see Table 2</w:t>
      </w:r>
      <w:r w:rsidR="006E6E8D">
        <w:rPr>
          <w:rFonts w:cs="Arial"/>
        </w:rPr>
        <w:t>)</w:t>
      </w:r>
      <w:r w:rsidRPr="00D93997">
        <w:rPr>
          <w:rFonts w:cs="Arial"/>
        </w:rPr>
        <w:t xml:space="preserve">: </w:t>
      </w:r>
      <w:r w:rsidR="008519E8">
        <w:rPr>
          <w:rFonts w:cs="Arial"/>
        </w:rPr>
        <w:t>0.02-0.004</w:t>
      </w:r>
      <w:r w:rsidR="001948C9">
        <w:rPr>
          <w:rFonts w:cs="Arial"/>
        </w:rPr>
        <w:t xml:space="preserve"> </w:t>
      </w:r>
      <w:proofErr w:type="spellStart"/>
      <w:r w:rsidR="001948C9" w:rsidRPr="001948C9">
        <w:rPr>
          <w:rFonts w:cs="Arial"/>
        </w:rPr>
        <w:t>Δt</w:t>
      </w:r>
      <w:proofErr w:type="spellEnd"/>
      <w:r w:rsidR="001948C9">
        <w:rPr>
          <w:rFonts w:cs="Arial"/>
        </w:rPr>
        <w:t xml:space="preserve"> </w:t>
      </w:r>
      <w:r w:rsidR="001948C9" w:rsidRPr="001948C9">
        <w:rPr>
          <w:rFonts w:cs="Arial"/>
        </w:rPr>
        <w:t>U</w:t>
      </w:r>
      <w:r w:rsidR="001948C9" w:rsidRPr="001948C9">
        <w:rPr>
          <w:rFonts w:cs="Arial"/>
          <w:vertAlign w:val="subscript"/>
        </w:rPr>
        <w:t>jet</w:t>
      </w:r>
      <w:r w:rsidR="001948C9" w:rsidRPr="001948C9">
        <w:rPr>
          <w:rFonts w:cs="Arial"/>
        </w:rPr>
        <w:t>/D</w:t>
      </w:r>
    </w:p>
    <w:p w:rsidR="00823E9C" w:rsidRDefault="00823E9C" w:rsidP="001A4824">
      <w:pPr>
        <w:pStyle w:val="Listenabsatz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Initial transient: 500-600 CTU</w:t>
      </w:r>
    </w:p>
    <w:p w:rsidR="00D93997" w:rsidRDefault="00D93997" w:rsidP="001A4824">
      <w:pPr>
        <w:pStyle w:val="Listenabsatz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 xml:space="preserve">Time sample to compute flow statistics: </w:t>
      </w:r>
      <w:r w:rsidR="00ED7EBF">
        <w:rPr>
          <w:rFonts w:cs="Arial"/>
        </w:rPr>
        <w:t>250</w:t>
      </w:r>
      <w:r>
        <w:rPr>
          <w:rFonts w:cs="Arial"/>
        </w:rPr>
        <w:t xml:space="preserve"> CTU</w:t>
      </w:r>
    </w:p>
    <w:p w:rsidR="004719FB" w:rsidRDefault="004719FB"/>
    <w:p w:rsidR="004719FB" w:rsidRDefault="006C1256">
      <w:pPr>
        <w:pStyle w:val="berschrift1"/>
        <w:rPr>
          <w:rFonts w:cs="Arial"/>
        </w:rPr>
      </w:pPr>
      <w:bookmarkStart w:id="11" w:name="_Toc368924904"/>
      <w:r>
        <w:rPr>
          <w:rFonts w:cs="Arial"/>
        </w:rPr>
        <w:t>12</w:t>
      </w:r>
      <w:r w:rsidR="004719FB">
        <w:rPr>
          <w:rFonts w:cs="Arial"/>
        </w:rPr>
        <w:t xml:space="preserve"> Pre- and post-processing tools</w:t>
      </w:r>
      <w:bookmarkEnd w:id="11"/>
    </w:p>
    <w:p w:rsidR="004719FB" w:rsidRDefault="004719FB">
      <w:pPr>
        <w:jc w:val="both"/>
        <w:rPr>
          <w:rFonts w:cs="Arial"/>
        </w:rPr>
      </w:pPr>
    </w:p>
    <w:p w:rsidR="0029000B" w:rsidRDefault="00A923AF" w:rsidP="00794554">
      <w:pPr>
        <w:jc w:val="both"/>
        <w:rPr>
          <w:rFonts w:cs="Arial"/>
        </w:rPr>
      </w:pPr>
      <w:r>
        <w:rPr>
          <w:rFonts w:cs="Arial"/>
        </w:rPr>
        <w:t>To extract information for farfield noise prediction, a set of nested closed funnel-shaped control surfaces are provided, which are shown in Figure 4.</w:t>
      </w:r>
      <w:r w:rsidR="003E667C">
        <w:rPr>
          <w:rFonts w:cs="Arial"/>
        </w:rPr>
        <w:t xml:space="preserve"> T</w:t>
      </w:r>
      <w:r w:rsidR="00FE332A">
        <w:rPr>
          <w:rFonts w:cs="Arial"/>
        </w:rPr>
        <w:t>he narrowest</w:t>
      </w:r>
      <w:r w:rsidR="003E667C">
        <w:rPr>
          <w:rFonts w:cs="Arial"/>
        </w:rPr>
        <w:t xml:space="preserve"> surface is hereby placed in immediate vicinity to the turbulent region.</w:t>
      </w:r>
      <w:r w:rsidR="00CC11F1" w:rsidRPr="00794554">
        <w:rPr>
          <w:rFonts w:cs="Arial"/>
        </w:rPr>
        <w:t xml:space="preserve"> </w:t>
      </w:r>
      <w:r w:rsidR="004B2EA1">
        <w:rPr>
          <w:rFonts w:cs="Arial"/>
        </w:rPr>
        <w:t>NTS performed a comprehensive analysis</w:t>
      </w:r>
      <w:r w:rsidR="00140C3B">
        <w:rPr>
          <w:rFonts w:cs="Arial"/>
        </w:rPr>
        <w:t xml:space="preserve"> regarding the influence of the FWH placement including effects of the closing disk surface</w:t>
      </w:r>
      <w:r w:rsidR="004B2EA1">
        <w:rPr>
          <w:rFonts w:cs="Arial"/>
        </w:rPr>
        <w:t xml:space="preserve"> (see </w:t>
      </w:r>
      <w:proofErr w:type="spellStart"/>
      <w:r w:rsidR="004B2EA1">
        <w:rPr>
          <w:rFonts w:cs="Arial"/>
        </w:rPr>
        <w:t>Shur</w:t>
      </w:r>
      <w:proofErr w:type="spellEnd"/>
      <w:r w:rsidR="004B2EA1">
        <w:rPr>
          <w:rFonts w:cs="Arial"/>
        </w:rPr>
        <w:t xml:space="preserve"> et al. (2005))</w:t>
      </w:r>
      <w:r w:rsidR="00FB73EC">
        <w:rPr>
          <w:rFonts w:cs="Arial"/>
        </w:rPr>
        <w:t xml:space="preserve">. As FWH analysis is highly sensitive to various numerical features of </w:t>
      </w:r>
      <w:r w:rsidR="00B00D11">
        <w:rPr>
          <w:rFonts w:cs="Arial"/>
        </w:rPr>
        <w:t xml:space="preserve">the </w:t>
      </w:r>
      <w:r w:rsidR="00FB73EC">
        <w:rPr>
          <w:rFonts w:cs="Arial"/>
        </w:rPr>
        <w:t xml:space="preserve">simulation, such as the solver </w:t>
      </w:r>
      <w:proofErr w:type="spellStart"/>
      <w:r w:rsidR="00FB73EC">
        <w:rPr>
          <w:rFonts w:cs="Arial"/>
        </w:rPr>
        <w:t>numerics</w:t>
      </w:r>
      <w:proofErr w:type="spellEnd"/>
      <w:r w:rsidR="00FB73EC">
        <w:rPr>
          <w:rFonts w:cs="Arial"/>
        </w:rPr>
        <w:t xml:space="preserve"> and applied farfield prediction method, </w:t>
      </w:r>
      <w:r w:rsidR="00A34F3C">
        <w:rPr>
          <w:rFonts w:cs="Arial"/>
        </w:rPr>
        <w:t>no mandatory procedure</w:t>
      </w:r>
      <w:r w:rsidR="00D61F73">
        <w:rPr>
          <w:rFonts w:cs="Arial"/>
        </w:rPr>
        <w:t xml:space="preserve"> to compute</w:t>
      </w:r>
      <w:r w:rsidR="00B00D11">
        <w:rPr>
          <w:rFonts w:cs="Arial"/>
        </w:rPr>
        <w:t xml:space="preserve"> </w:t>
      </w:r>
      <w:r w:rsidR="00B00D11">
        <w:rPr>
          <w:rFonts w:cs="Arial"/>
        </w:rPr>
        <w:lastRenderedPageBreak/>
        <w:t>the farfield sound</w:t>
      </w:r>
      <w:r w:rsidR="00A34F3C">
        <w:rPr>
          <w:rFonts w:cs="Arial"/>
        </w:rPr>
        <w:t xml:space="preserve"> is defined, but the partners are free to </w:t>
      </w:r>
      <w:r w:rsidR="00810798">
        <w:rPr>
          <w:rFonts w:cs="Arial"/>
        </w:rPr>
        <w:t>use their post-processing strategy</w:t>
      </w:r>
      <w:r w:rsidR="00A34F3C">
        <w:rPr>
          <w:rFonts w:cs="Arial"/>
        </w:rPr>
        <w:t xml:space="preserve"> of choice.</w:t>
      </w:r>
      <w:bookmarkStart w:id="12" w:name="_GoBack"/>
      <w:bookmarkEnd w:id="12"/>
    </w:p>
    <w:p w:rsidR="00706613" w:rsidRDefault="00706613" w:rsidP="00794554">
      <w:pPr>
        <w:jc w:val="both"/>
        <w:rPr>
          <w:rFonts w:cs="Arial"/>
        </w:rPr>
      </w:pPr>
    </w:p>
    <w:p w:rsidR="00384563" w:rsidRDefault="00384563" w:rsidP="00384563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384563" w:rsidTr="004B06F1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384563" w:rsidRDefault="00384563" w:rsidP="004B06F1">
            <w:pPr>
              <w:jc w:val="center"/>
            </w:pPr>
            <w:r w:rsidRPr="00384563">
              <w:rPr>
                <w:noProof/>
                <w:lang w:val="en-US" w:eastAsia="en-US"/>
              </w:rPr>
              <w:drawing>
                <wp:inline distT="0" distB="0" distL="0" distR="0">
                  <wp:extent cx="5040000" cy="2127477"/>
                  <wp:effectExtent l="19050" t="0" r="8250" b="0"/>
                  <wp:docPr id="13" name="Grafik 3" descr="fig_FWHsurf_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FWHsurf_NT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2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563" w:rsidRDefault="00384563" w:rsidP="004B06F1">
            <w:pPr>
              <w:jc w:val="center"/>
            </w:pPr>
          </w:p>
        </w:tc>
      </w:tr>
      <w:tr w:rsidR="00384563" w:rsidTr="004B06F1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384563" w:rsidRPr="001C6355" w:rsidRDefault="00384563" w:rsidP="000A19AD">
            <w:pPr>
              <w:rPr>
                <w:b/>
                <w:sz w:val="20"/>
              </w:rPr>
            </w:pPr>
            <w:r w:rsidRPr="001C6355">
              <w:rPr>
                <w:b/>
                <w:sz w:val="20"/>
              </w:rPr>
              <w:t xml:space="preserve">Figure </w:t>
            </w:r>
            <w:r w:rsidR="00F33E94">
              <w:rPr>
                <w:b/>
                <w:sz w:val="20"/>
              </w:rPr>
              <w:t>4</w:t>
            </w:r>
            <w:r w:rsidRPr="001C6355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BB7414">
              <w:rPr>
                <w:sz w:val="20"/>
              </w:rPr>
              <w:t xml:space="preserve">Overview about provided </w:t>
            </w:r>
            <w:r w:rsidR="009B70A8">
              <w:rPr>
                <w:sz w:val="20"/>
              </w:rPr>
              <w:t xml:space="preserve">FWH </w:t>
            </w:r>
            <w:r w:rsidR="00BB7414">
              <w:rPr>
                <w:sz w:val="20"/>
              </w:rPr>
              <w:t>surfaces for extraction of farfield sound.</w:t>
            </w:r>
            <w:r w:rsidR="000432E5">
              <w:rPr>
                <w:sz w:val="20"/>
              </w:rPr>
              <w:t xml:space="preserve"> </w:t>
            </w:r>
            <w:r w:rsidR="000A19AD">
              <w:rPr>
                <w:sz w:val="20"/>
              </w:rPr>
              <w:t xml:space="preserve">Instantaneous distribution of </w:t>
            </w:r>
            <w:proofErr w:type="spellStart"/>
            <w:r w:rsidR="000A19AD">
              <w:rPr>
                <w:sz w:val="20"/>
              </w:rPr>
              <w:t>Lighthill’s</w:t>
            </w:r>
            <w:proofErr w:type="spellEnd"/>
            <w:r w:rsidR="000A19AD">
              <w:rPr>
                <w:sz w:val="20"/>
              </w:rPr>
              <w:t xml:space="preserve"> source term is depicted </w:t>
            </w:r>
            <w:r w:rsidR="000432E5">
              <w:rPr>
                <w:sz w:val="20"/>
              </w:rPr>
              <w:t>to visualise</w:t>
            </w:r>
            <w:r w:rsidR="000A19AD">
              <w:rPr>
                <w:sz w:val="20"/>
              </w:rPr>
              <w:t xml:space="preserve"> the non-linear turbulent </w:t>
            </w:r>
            <w:r w:rsidR="000432E5">
              <w:rPr>
                <w:sz w:val="20"/>
              </w:rPr>
              <w:t>region</w:t>
            </w:r>
            <w:r w:rsidR="00220820">
              <w:rPr>
                <w:sz w:val="20"/>
              </w:rPr>
              <w:t xml:space="preserve"> (</w:t>
            </w:r>
            <w:r w:rsidR="00583FAE">
              <w:rPr>
                <w:sz w:val="20"/>
              </w:rPr>
              <w:t xml:space="preserve">taken from </w:t>
            </w:r>
            <w:proofErr w:type="spellStart"/>
            <w:r w:rsidR="00220820">
              <w:rPr>
                <w:sz w:val="20"/>
              </w:rPr>
              <w:t>Shur</w:t>
            </w:r>
            <w:proofErr w:type="spellEnd"/>
            <w:r w:rsidR="00220820">
              <w:rPr>
                <w:sz w:val="20"/>
              </w:rPr>
              <w:t xml:space="preserve"> et al. 2005)</w:t>
            </w:r>
            <w:r w:rsidR="000432E5">
              <w:rPr>
                <w:sz w:val="20"/>
              </w:rPr>
              <w:t>.</w:t>
            </w:r>
          </w:p>
        </w:tc>
      </w:tr>
    </w:tbl>
    <w:p w:rsidR="00384563" w:rsidRDefault="00384563" w:rsidP="00384563">
      <w:pPr>
        <w:jc w:val="both"/>
        <w:rPr>
          <w:rFonts w:cs="Arial"/>
        </w:rPr>
      </w:pPr>
    </w:p>
    <w:p w:rsidR="00B96AD5" w:rsidRDefault="00B96AD5" w:rsidP="007A68A0">
      <w:pPr>
        <w:jc w:val="both"/>
        <w:rPr>
          <w:rFonts w:cs="Arial"/>
        </w:rPr>
      </w:pPr>
    </w:p>
    <w:p w:rsidR="007A68A0" w:rsidRDefault="00F25CDF" w:rsidP="007A68A0">
      <w:pPr>
        <w:jc w:val="both"/>
        <w:rPr>
          <w:rFonts w:cs="Arial"/>
        </w:rPr>
      </w:pPr>
      <w:r>
        <w:rPr>
          <w:rFonts w:cs="Arial"/>
        </w:rPr>
        <w:t xml:space="preserve">To enable comparison of farfield noise between CFD and experimental data of </w:t>
      </w:r>
      <w:proofErr w:type="spellStart"/>
      <w:r>
        <w:rPr>
          <w:rFonts w:cs="Arial"/>
        </w:rPr>
        <w:t>Viswanathan</w:t>
      </w:r>
      <w:proofErr w:type="spellEnd"/>
      <w:r>
        <w:rPr>
          <w:rFonts w:cs="Arial"/>
        </w:rPr>
        <w:t xml:space="preserve">, the computed “lossless” 1/3-octave spectra </w:t>
      </w:r>
      <w:r w:rsidR="00310195">
        <w:rPr>
          <w:rFonts w:cs="Arial"/>
        </w:rPr>
        <w:t>from</w:t>
      </w:r>
      <w:r>
        <w:rPr>
          <w:rFonts w:cs="Arial"/>
        </w:rPr>
        <w:t xml:space="preserve"> CFD have to be corrected using the formula developed by Shields &amp; Bass (1977):</w:t>
      </w:r>
    </w:p>
    <w:p w:rsidR="00F25CDF" w:rsidRDefault="00F25CDF" w:rsidP="007A68A0">
      <w:pPr>
        <w:jc w:val="both"/>
        <w:rPr>
          <w:rFonts w:cs="Arial"/>
        </w:rPr>
      </w:pPr>
    </w:p>
    <w:p w:rsidR="004719FB" w:rsidRDefault="00F562BC">
      <w:pPr>
        <w:jc w:val="both"/>
        <w:rPr>
          <w:rFonts w:cs="Arial"/>
        </w:rPr>
      </w:pPr>
      <m:oMath>
        <m:r>
          <w:rPr>
            <w:rFonts w:ascii="Cambria Math" w:hAnsi="Cambria Math" w:cs="Arial"/>
          </w:rPr>
          <m:t>dB=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dB</m:t>
            </m:r>
          </m:e>
          <m:sub>
            <m:r>
              <w:rPr>
                <w:rFonts w:ascii="Cambria Math" w:hAnsi="Cambria Math" w:cs="Arial"/>
              </w:rPr>
              <m:t>lossless</m:t>
            </m:r>
          </m:sub>
        </m:sSub>
        <m:r>
          <w:rPr>
            <w:rFonts w:ascii="Cambria Math" w:hAnsi="Cambria Math" w:cs="Arial"/>
          </w:rPr>
          <m:t>-distance(ft)∙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1.004946462974∙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-3</m:t>
                </m:r>
              </m:sup>
            </m:sSup>
            <m:r>
              <w:rPr>
                <w:rFonts w:ascii="Cambria Math" w:hAnsi="Cambria Math" w:cs="Arial"/>
              </w:rPr>
              <m:t>+2.460636243007∙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-7</m:t>
                </m:r>
              </m:sup>
            </m:sSup>
            <m:r>
              <w:rPr>
                <w:rFonts w:ascii="Cambria Math" w:hAnsi="Cambria Math" w:cs="Arial"/>
              </w:rPr>
              <m:t>∙f+2.736652146745∙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-10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-1.457373709832∙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-15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d>
      </m:oMath>
      <w:r w:rsidR="00295E04">
        <w:rPr>
          <w:rFonts w:cs="Arial"/>
        </w:rPr>
        <w:t>,</w:t>
      </w:r>
    </w:p>
    <w:p w:rsidR="00295E04" w:rsidRDefault="00295E04">
      <w:pPr>
        <w:jc w:val="both"/>
        <w:rPr>
          <w:rFonts w:cs="Arial"/>
        </w:rPr>
      </w:pPr>
    </w:p>
    <w:p w:rsidR="00295E04" w:rsidRPr="00D304D2" w:rsidRDefault="00295E04">
      <w:pPr>
        <w:jc w:val="both"/>
        <w:rPr>
          <w:rFonts w:cs="Arial"/>
        </w:rPr>
      </w:pPr>
      <w:proofErr w:type="gramStart"/>
      <w:r>
        <w:rPr>
          <w:rFonts w:cs="Arial"/>
        </w:rPr>
        <w:t>where</w:t>
      </w:r>
      <w:proofErr w:type="gramEnd"/>
      <w:r>
        <w:rPr>
          <w:rFonts w:cs="Arial"/>
        </w:rPr>
        <w:t xml:space="preserve"> f is the</w:t>
      </w:r>
      <w:r w:rsidR="00250E20">
        <w:rPr>
          <w:rFonts w:cs="Arial"/>
        </w:rPr>
        <w:t xml:space="preserve"> centre</w:t>
      </w:r>
      <w:r>
        <w:rPr>
          <w:rFonts w:cs="Arial"/>
        </w:rPr>
        <w:t xml:space="preserve"> frequency</w:t>
      </w:r>
      <w:r w:rsidR="00250E20">
        <w:rPr>
          <w:rFonts w:cs="Arial"/>
        </w:rPr>
        <w:t xml:space="preserve"> of the respective 1/3-octave band</w:t>
      </w:r>
      <w:r>
        <w:rPr>
          <w:rFonts w:cs="Arial"/>
        </w:rPr>
        <w:t>.</w:t>
      </w:r>
    </w:p>
    <w:p w:rsidR="00D304D2" w:rsidRDefault="00D304D2">
      <w:pPr>
        <w:jc w:val="both"/>
        <w:rPr>
          <w:rFonts w:cs="Arial"/>
        </w:rPr>
      </w:pPr>
    </w:p>
    <w:p w:rsidR="007A68A0" w:rsidRDefault="007A68A0">
      <w:pPr>
        <w:jc w:val="both"/>
        <w:rPr>
          <w:rFonts w:cs="Arial"/>
        </w:rPr>
      </w:pPr>
    </w:p>
    <w:p w:rsidR="004719FB" w:rsidRDefault="006C1256">
      <w:pPr>
        <w:pStyle w:val="berschrift1"/>
        <w:rPr>
          <w:rFonts w:cs="Arial"/>
        </w:rPr>
      </w:pPr>
      <w:bookmarkStart w:id="13" w:name="_Toc368924905"/>
      <w:r>
        <w:rPr>
          <w:rFonts w:cs="Arial"/>
        </w:rPr>
        <w:t>13</w:t>
      </w:r>
      <w:r w:rsidR="004719FB">
        <w:rPr>
          <w:rFonts w:cs="Arial"/>
        </w:rPr>
        <w:t xml:space="preserve"> Mandatory and optional results</w:t>
      </w:r>
      <w:bookmarkEnd w:id="13"/>
    </w:p>
    <w:p w:rsidR="004719FB" w:rsidRDefault="004719FB">
      <w:pPr>
        <w:jc w:val="both"/>
        <w:rPr>
          <w:rFonts w:cs="Arial"/>
        </w:rPr>
      </w:pPr>
    </w:p>
    <w:p w:rsidR="00F87167" w:rsidRDefault="00F87167" w:rsidP="00F87167">
      <w:pPr>
        <w:rPr>
          <w:lang w:val="en-US"/>
        </w:rPr>
      </w:pPr>
      <w:r>
        <w:rPr>
          <w:lang w:val="en-US"/>
        </w:rPr>
        <w:t>It is proposed to use the following computational results for cross-plotting and comparison with experiment</w:t>
      </w:r>
      <w:r w:rsidR="0085018B">
        <w:rPr>
          <w:lang w:val="en-US"/>
        </w:rPr>
        <w:t>al data</w:t>
      </w:r>
      <w:r>
        <w:rPr>
          <w:lang w:val="en-US"/>
        </w:rPr>
        <w:t>:</w:t>
      </w:r>
    </w:p>
    <w:p w:rsidR="00F87167" w:rsidRDefault="00F87167" w:rsidP="00F87167">
      <w:pPr>
        <w:pStyle w:val="Bullet1"/>
        <w:rPr>
          <w:lang w:val="en-US"/>
        </w:rPr>
      </w:pPr>
      <w:r>
        <w:rPr>
          <w:lang w:val="en-US"/>
        </w:rPr>
        <w:t>mean and RMS of</w:t>
      </w:r>
      <w:r w:rsidR="00E34E08">
        <w:rPr>
          <w:lang w:val="en-US"/>
        </w:rPr>
        <w:t xml:space="preserve"> </w:t>
      </w:r>
      <w:proofErr w:type="spellStart"/>
      <w:r w:rsidR="00E34E08">
        <w:rPr>
          <w:lang w:val="en-US"/>
        </w:rPr>
        <w:t>streamwise</w:t>
      </w:r>
      <w:proofErr w:type="spellEnd"/>
      <w:r w:rsidR="00E34E08">
        <w:rPr>
          <w:lang w:val="en-US"/>
        </w:rPr>
        <w:t xml:space="preserve"> velocity</w:t>
      </w:r>
      <w:r w:rsidR="00BC5AAD">
        <w:rPr>
          <w:lang w:val="en-US"/>
        </w:rPr>
        <w:t xml:space="preserve"> component</w:t>
      </w:r>
      <w:r w:rsidR="00E34E08">
        <w:rPr>
          <w:lang w:val="en-US"/>
        </w:rPr>
        <w:t xml:space="preserve"> along the centre and lip line (r/D = 0 and r/D = 0.5)</w:t>
      </w:r>
    </w:p>
    <w:p w:rsidR="00F87167" w:rsidRDefault="00BC5AAD" w:rsidP="00F87167">
      <w:pPr>
        <w:pStyle w:val="Bullet1"/>
        <w:rPr>
          <w:lang w:val="en-US"/>
        </w:rPr>
      </w:pPr>
      <w:r>
        <w:rPr>
          <w:lang w:val="en-US"/>
        </w:rPr>
        <w:t xml:space="preserve">radial profiles of </w:t>
      </w:r>
      <w:r w:rsidR="00F87167">
        <w:rPr>
          <w:lang w:val="en-US"/>
        </w:rPr>
        <w:t>mean velocity and resolved</w:t>
      </w:r>
      <w:r w:rsidR="00DC528D">
        <w:rPr>
          <w:lang w:val="en-US"/>
        </w:rPr>
        <w:t xml:space="preserve"> / modelled</w:t>
      </w:r>
      <w:r w:rsidR="00F87167">
        <w:rPr>
          <w:lang w:val="en-US"/>
        </w:rPr>
        <w:t xml:space="preserve"> Reynolds stresses at </w:t>
      </w:r>
      <w:r>
        <w:rPr>
          <w:lang w:val="en-US"/>
        </w:rPr>
        <w:t>4 different locations in x-direction, i.e. x/D = 4.0, 8.0</w:t>
      </w:r>
      <w:r w:rsidR="00371222">
        <w:rPr>
          <w:lang w:val="en-US"/>
        </w:rPr>
        <w:t xml:space="preserve">, </w:t>
      </w:r>
      <w:r>
        <w:rPr>
          <w:lang w:val="en-US"/>
        </w:rPr>
        <w:t>12.0</w:t>
      </w:r>
      <w:r w:rsidR="00371222">
        <w:rPr>
          <w:lang w:val="en-US"/>
        </w:rPr>
        <w:t xml:space="preserve"> and 16.0</w:t>
      </w:r>
    </w:p>
    <w:p w:rsidR="003D4EB7" w:rsidRDefault="003D4EB7" w:rsidP="00F87167">
      <w:pPr>
        <w:pStyle w:val="Bullet1"/>
        <w:rPr>
          <w:lang w:val="en-US"/>
        </w:rPr>
      </w:pPr>
      <w:r>
        <w:rPr>
          <w:lang w:val="en-US"/>
        </w:rPr>
        <w:t>Peak values of &lt;</w:t>
      </w:r>
      <w:proofErr w:type="spellStart"/>
      <w:r>
        <w:rPr>
          <w:lang w:val="en-US"/>
        </w:rPr>
        <w:t>u’v</w:t>
      </w:r>
      <w:proofErr w:type="spellEnd"/>
      <w:r>
        <w:rPr>
          <w:lang w:val="en-US"/>
        </w:rPr>
        <w:t>’&gt; in radial direction plotted over x/D</w:t>
      </w:r>
    </w:p>
    <w:p w:rsidR="00F87167" w:rsidRDefault="00F87167" w:rsidP="00F87167">
      <w:pPr>
        <w:pStyle w:val="Bullet1"/>
        <w:numPr>
          <w:ilvl w:val="0"/>
          <w:numId w:val="0"/>
        </w:numPr>
        <w:rPr>
          <w:lang w:val="en-US"/>
        </w:rPr>
      </w:pPr>
    </w:p>
    <w:p w:rsidR="00BF0CA5" w:rsidRDefault="00BF0CA5" w:rsidP="0072263B">
      <w:pPr>
        <w:pStyle w:val="Bullet1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>Contributed data for cross-plotting should be tabulated in ASCII format.</w:t>
      </w:r>
    </w:p>
    <w:p w:rsidR="00BF0CA5" w:rsidRDefault="00BF0CA5" w:rsidP="0072263B">
      <w:pPr>
        <w:pStyle w:val="Bullet1"/>
        <w:numPr>
          <w:ilvl w:val="0"/>
          <w:numId w:val="0"/>
        </w:numPr>
        <w:jc w:val="both"/>
        <w:rPr>
          <w:lang w:val="en-US"/>
        </w:rPr>
      </w:pPr>
    </w:p>
    <w:p w:rsidR="00B20439" w:rsidRDefault="00F87167" w:rsidP="0072263B">
      <w:pPr>
        <w:pStyle w:val="Bulle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 xml:space="preserve">Furthermore, </w:t>
      </w:r>
      <w:r w:rsidR="00B20439">
        <w:rPr>
          <w:lang w:val="en-US"/>
        </w:rPr>
        <w:t xml:space="preserve">contours of instantaneous </w:t>
      </w:r>
      <w:proofErr w:type="spellStart"/>
      <w:r w:rsidR="00B20439">
        <w:rPr>
          <w:lang w:val="en-US"/>
        </w:rPr>
        <w:t>vorticity</w:t>
      </w:r>
      <w:proofErr w:type="spellEnd"/>
      <w:r w:rsidR="00B20439">
        <w:rPr>
          <w:lang w:val="en-US"/>
        </w:rPr>
        <w:t xml:space="preserve"> magnitude are optional to get an impression of the turbulen</w:t>
      </w:r>
      <w:r w:rsidR="00610CAA">
        <w:rPr>
          <w:lang w:val="en-US"/>
        </w:rPr>
        <w:t>t</w:t>
      </w:r>
      <w:r w:rsidR="00B20439">
        <w:rPr>
          <w:lang w:val="en-US"/>
        </w:rPr>
        <w:t xml:space="preserve"> structures captured in the simulation</w:t>
      </w:r>
      <w:r w:rsidR="00B22208">
        <w:rPr>
          <w:lang w:val="en-US"/>
        </w:rPr>
        <w:t>. A proposed plotting range is</w:t>
      </w:r>
      <w:r w:rsidR="00AE4035">
        <w:rPr>
          <w:lang w:val="en-US"/>
        </w:rPr>
        <w:t xml:space="preserve"> 0 </w:t>
      </w:r>
      <w:r w:rsidR="00AE4035">
        <w:rPr>
          <w:rFonts w:cs="Arial"/>
          <w:lang w:val="en-US"/>
        </w:rPr>
        <w:t>≤</w:t>
      </w:r>
      <w:r w:rsidR="00AE4035">
        <w:rPr>
          <w:lang w:val="en-US"/>
        </w:rPr>
        <w:t xml:space="preserve"> </w:t>
      </w:r>
      <w:r w:rsidR="0049179E">
        <w:rPr>
          <w:lang w:val="en-US"/>
        </w:rPr>
        <w:t>|</w:t>
      </w:r>
      <w:proofErr w:type="spellStart"/>
      <w:r w:rsidR="00AE4035">
        <w:rPr>
          <w:rFonts w:cs="Arial"/>
          <w:lang w:val="en-US"/>
        </w:rPr>
        <w:t>ω</w:t>
      </w:r>
      <w:r w:rsidR="0049179E">
        <w:rPr>
          <w:rFonts w:cs="Arial"/>
          <w:lang w:val="en-US"/>
        </w:rPr>
        <w:t>|</w:t>
      </w:r>
      <w:r w:rsidR="0000476B">
        <w:rPr>
          <w:rFonts w:cs="Arial"/>
          <w:lang w:val="en-US"/>
        </w:rPr>
        <w:t>D</w:t>
      </w:r>
      <w:proofErr w:type="spellEnd"/>
      <w:r w:rsidR="0000476B">
        <w:rPr>
          <w:rFonts w:cs="Arial"/>
          <w:lang w:val="en-US"/>
        </w:rPr>
        <w:t>/</w:t>
      </w:r>
      <w:r w:rsidR="0000476B">
        <w:rPr>
          <w:i/>
          <w:lang w:val="fr-BE"/>
        </w:rPr>
        <w:t>U</w:t>
      </w:r>
      <w:r w:rsidR="0000476B">
        <w:rPr>
          <w:rFonts w:ascii="Times" w:hAnsi="Times" w:cs="Arial"/>
          <w:vertAlign w:val="subscript"/>
          <w:lang w:val="fr-BE"/>
        </w:rPr>
        <w:t>jet</w:t>
      </w:r>
      <w:r w:rsidR="00AE696D">
        <w:rPr>
          <w:lang w:val="en-US"/>
        </w:rPr>
        <w:t xml:space="preserve"> </w:t>
      </w:r>
      <w:r w:rsidR="00AE4035">
        <w:rPr>
          <w:rFonts w:cs="Arial"/>
          <w:lang w:val="en-US"/>
        </w:rPr>
        <w:t>≤</w:t>
      </w:r>
      <w:r w:rsidR="00A0774C">
        <w:rPr>
          <w:rFonts w:cs="Arial"/>
          <w:lang w:val="en-US"/>
        </w:rPr>
        <w:t xml:space="preserve"> 2</w:t>
      </w:r>
      <w:r w:rsidR="00AE4035">
        <w:rPr>
          <w:rFonts w:cs="Arial"/>
          <w:lang w:val="en-US"/>
        </w:rPr>
        <w:t>0</w:t>
      </w:r>
      <w:r w:rsidR="0000476B">
        <w:rPr>
          <w:rFonts w:cs="Arial"/>
          <w:lang w:val="en-US"/>
        </w:rPr>
        <w:t>.</w:t>
      </w:r>
    </w:p>
    <w:p w:rsidR="00A36A59" w:rsidRDefault="00A36A59" w:rsidP="0072263B">
      <w:pPr>
        <w:pStyle w:val="Bullet1"/>
        <w:numPr>
          <w:ilvl w:val="0"/>
          <w:numId w:val="0"/>
        </w:numPr>
        <w:jc w:val="both"/>
        <w:rPr>
          <w:lang w:val="en-US"/>
        </w:rPr>
      </w:pPr>
    </w:p>
    <w:p w:rsidR="00FB18E4" w:rsidRDefault="00A36A59" w:rsidP="0072263B">
      <w:pPr>
        <w:pStyle w:val="Bullet1"/>
        <w:numPr>
          <w:ilvl w:val="0"/>
          <w:numId w:val="0"/>
        </w:numPr>
        <w:jc w:val="both"/>
        <w:rPr>
          <w:rFonts w:cs="Arial"/>
        </w:rPr>
      </w:pPr>
      <w:r>
        <w:rPr>
          <w:lang w:val="en-US"/>
        </w:rPr>
        <w:t>The prediction and analysis of farfield noise is optional</w:t>
      </w:r>
      <w:r w:rsidR="00917018">
        <w:rPr>
          <w:lang w:val="en-US"/>
        </w:rPr>
        <w:t xml:space="preserve"> as well</w:t>
      </w:r>
      <w:r>
        <w:rPr>
          <w:lang w:val="en-US"/>
        </w:rPr>
        <w:t>, where the quantities listed in</w:t>
      </w:r>
      <w:r w:rsidR="00DD6B44">
        <w:rPr>
          <w:lang w:val="en-US"/>
        </w:rPr>
        <w:t xml:space="preserve"> the</w:t>
      </w:r>
      <w:r>
        <w:rPr>
          <w:lang w:val="en-US"/>
        </w:rPr>
        <w:t xml:space="preserve"> section “</w:t>
      </w:r>
      <w:r>
        <w:rPr>
          <w:rFonts w:cs="Arial"/>
        </w:rPr>
        <w:t>Description of available reference data” are proposed for cross-plotting.</w:t>
      </w:r>
      <w:r w:rsidR="004B2EA1">
        <w:rPr>
          <w:rFonts w:cs="Arial"/>
        </w:rPr>
        <w:t xml:space="preserve"> Additionally, </w:t>
      </w:r>
      <w:r w:rsidR="0067368B">
        <w:rPr>
          <w:rFonts w:cs="Arial"/>
        </w:rPr>
        <w:lastRenderedPageBreak/>
        <w:t xml:space="preserve">providing </w:t>
      </w:r>
      <w:r w:rsidR="004B2EA1">
        <w:rPr>
          <w:rFonts w:cs="Arial"/>
        </w:rPr>
        <w:t xml:space="preserve">contour plots </w:t>
      </w:r>
      <w:r w:rsidR="0067368B">
        <w:rPr>
          <w:rFonts w:cs="Arial"/>
        </w:rPr>
        <w:t xml:space="preserve">which </w:t>
      </w:r>
      <w:r w:rsidR="00CB5680">
        <w:rPr>
          <w:rFonts w:cs="Arial"/>
        </w:rPr>
        <w:t>visualise</w:t>
      </w:r>
      <w:r w:rsidR="004B2EA1">
        <w:rPr>
          <w:rFonts w:cs="Arial"/>
        </w:rPr>
        <w:t xml:space="preserve"> the acoustic </w:t>
      </w:r>
      <w:r w:rsidR="00CB5680">
        <w:rPr>
          <w:rFonts w:cs="Arial"/>
        </w:rPr>
        <w:t>wave propagation</w:t>
      </w:r>
      <w:r w:rsidR="008277FC">
        <w:rPr>
          <w:rFonts w:cs="Arial"/>
        </w:rPr>
        <w:t xml:space="preserve"> are encouraged.</w:t>
      </w:r>
      <w:r w:rsidR="000E2AA7">
        <w:rPr>
          <w:rFonts w:cs="Arial"/>
        </w:rPr>
        <w:t xml:space="preserve"> Proposed quantities to plot are the pressure time derivative ∂p/∂t</w:t>
      </w:r>
      <w:r w:rsidR="007E6723">
        <w:rPr>
          <w:rFonts w:cs="Arial"/>
        </w:rPr>
        <w:t xml:space="preserve"> </w:t>
      </w:r>
      <w:r w:rsidR="00BE6D03">
        <w:rPr>
          <w:rFonts w:cs="Arial"/>
        </w:rPr>
        <w:t xml:space="preserve">and </w:t>
      </w:r>
      <w:proofErr w:type="gramStart"/>
      <w:r w:rsidR="00BE6D03">
        <w:rPr>
          <w:rFonts w:cs="Arial"/>
        </w:rPr>
        <w:t>grad(</w:t>
      </w:r>
      <w:proofErr w:type="gramEnd"/>
      <w:r w:rsidR="00BE6D03">
        <w:rPr>
          <w:rFonts w:cs="Arial"/>
        </w:rPr>
        <w:t>ρ)</w:t>
      </w:r>
      <w:r w:rsidR="007E6723">
        <w:rPr>
          <w:rFonts w:cs="Arial"/>
        </w:rPr>
        <w:t>.</w:t>
      </w:r>
      <w:r w:rsidR="008A365D">
        <w:rPr>
          <w:rFonts w:cs="Arial"/>
        </w:rPr>
        <w:t xml:space="preserve"> </w:t>
      </w:r>
    </w:p>
    <w:p w:rsidR="00FB18E4" w:rsidRDefault="00FB18E4" w:rsidP="0072263B">
      <w:pPr>
        <w:pStyle w:val="Bullet1"/>
        <w:numPr>
          <w:ilvl w:val="0"/>
          <w:numId w:val="0"/>
        </w:numPr>
        <w:jc w:val="both"/>
        <w:rPr>
          <w:rFonts w:cs="Arial"/>
        </w:rPr>
      </w:pPr>
    </w:p>
    <w:p w:rsidR="008A365D" w:rsidRDefault="008A365D" w:rsidP="0072263B">
      <w:pPr>
        <w:pStyle w:val="Bullet1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As for the cross-plotting of contours, all partners are encouraged to submit a 2D slice (preferably in </w:t>
      </w:r>
      <w:proofErr w:type="spellStart"/>
      <w:r>
        <w:rPr>
          <w:rFonts w:cs="Arial"/>
        </w:rPr>
        <w:t>tecplot</w:t>
      </w:r>
      <w:proofErr w:type="spellEnd"/>
      <w:r>
        <w:rPr>
          <w:rFonts w:cs="Arial"/>
        </w:rPr>
        <w:t xml:space="preserve"> format)</w:t>
      </w:r>
      <w:r w:rsidR="00635839">
        <w:rPr>
          <w:rFonts w:cs="Arial"/>
        </w:rPr>
        <w:t xml:space="preserve"> to the TC co-ordinator</w:t>
      </w:r>
      <w:r w:rsidR="000F3939">
        <w:rPr>
          <w:rFonts w:cs="Arial"/>
        </w:rPr>
        <w:t xml:space="preserve">, so that the same plotting range for quantities such as </w:t>
      </w:r>
      <w:r w:rsidR="000F3939">
        <w:rPr>
          <w:rFonts w:cs="Arial"/>
        </w:rPr>
        <w:t>∂p/∂t</w:t>
      </w:r>
      <w:r w:rsidR="000F3939">
        <w:rPr>
          <w:rFonts w:cs="Arial"/>
        </w:rPr>
        <w:t xml:space="preserve"> can be assured.</w:t>
      </w:r>
    </w:p>
    <w:p w:rsidR="00083A9C" w:rsidRPr="001E5BC6" w:rsidRDefault="00083A9C" w:rsidP="0072263B">
      <w:pPr>
        <w:pStyle w:val="Bullet1"/>
        <w:numPr>
          <w:ilvl w:val="0"/>
          <w:numId w:val="0"/>
        </w:numPr>
        <w:jc w:val="both"/>
      </w:pPr>
    </w:p>
    <w:p w:rsidR="004719FB" w:rsidRDefault="004719FB">
      <w:pPr>
        <w:jc w:val="both"/>
        <w:rPr>
          <w:rFonts w:cs="Arial"/>
        </w:rPr>
      </w:pPr>
    </w:p>
    <w:p w:rsidR="004719FB" w:rsidRDefault="006C1256">
      <w:pPr>
        <w:pStyle w:val="berschrift1"/>
        <w:rPr>
          <w:rFonts w:cs="Arial"/>
        </w:rPr>
      </w:pPr>
      <w:bookmarkStart w:id="14" w:name="_Toc368924906"/>
      <w:r>
        <w:rPr>
          <w:rFonts w:cs="Arial"/>
        </w:rPr>
        <w:t>14</w:t>
      </w:r>
      <w:r w:rsidR="004719FB">
        <w:rPr>
          <w:rFonts w:cs="Arial"/>
        </w:rPr>
        <w:t xml:space="preserve"> Others</w:t>
      </w:r>
      <w:bookmarkEnd w:id="14"/>
    </w:p>
    <w:p w:rsidR="004719FB" w:rsidRDefault="004719FB">
      <w:pPr>
        <w:jc w:val="both"/>
        <w:rPr>
          <w:rFonts w:cs="Arial"/>
        </w:rPr>
      </w:pPr>
    </w:p>
    <w:p w:rsidR="004719FB" w:rsidRDefault="0072263B">
      <w:pPr>
        <w:jc w:val="both"/>
        <w:rPr>
          <w:rFonts w:cs="Arial"/>
        </w:rPr>
      </w:pPr>
      <w:proofErr w:type="gramStart"/>
      <w:r>
        <w:rPr>
          <w:rFonts w:cs="Arial"/>
        </w:rPr>
        <w:t>None</w:t>
      </w:r>
      <w:r w:rsidR="004719FB">
        <w:rPr>
          <w:rFonts w:cs="Arial"/>
        </w:rPr>
        <w:t>.</w:t>
      </w:r>
      <w:proofErr w:type="gramEnd"/>
    </w:p>
    <w:p w:rsidR="0053124A" w:rsidRDefault="0053124A">
      <w:pPr>
        <w:jc w:val="both"/>
        <w:rPr>
          <w:rFonts w:cs="Arial"/>
        </w:rPr>
      </w:pPr>
    </w:p>
    <w:p w:rsidR="0053124A" w:rsidRDefault="0053124A">
      <w:pPr>
        <w:jc w:val="both"/>
        <w:rPr>
          <w:rFonts w:cs="Arial"/>
        </w:rPr>
      </w:pPr>
    </w:p>
    <w:p w:rsidR="004719FB" w:rsidRDefault="006C1256">
      <w:pPr>
        <w:pStyle w:val="berschrift1"/>
        <w:spacing w:before="360"/>
        <w:rPr>
          <w:rFonts w:cs="Arial"/>
        </w:rPr>
      </w:pPr>
      <w:bookmarkStart w:id="15" w:name="_Toc368924907"/>
      <w:r>
        <w:rPr>
          <w:rFonts w:cs="Arial"/>
        </w:rPr>
        <w:t>15</w:t>
      </w:r>
      <w:r w:rsidR="004719FB">
        <w:rPr>
          <w:rFonts w:cs="Arial"/>
        </w:rPr>
        <w:t xml:space="preserve"> References</w:t>
      </w:r>
      <w:bookmarkEnd w:id="15"/>
    </w:p>
    <w:p w:rsidR="004719FB" w:rsidRDefault="004719FB">
      <w:pPr>
        <w:pStyle w:val="Reference"/>
        <w:rPr>
          <w:rFonts w:cs="Arial"/>
          <w:sz w:val="22"/>
          <w:lang w:val="en-US"/>
        </w:rPr>
      </w:pPr>
    </w:p>
    <w:p w:rsidR="00DA5265" w:rsidRDefault="001E797C" w:rsidP="00DA5265">
      <w:pPr>
        <w:pStyle w:val="Reference"/>
        <w:rPr>
          <w:lang w:val="en-US"/>
        </w:rPr>
      </w:pPr>
      <w:proofErr w:type="spellStart"/>
      <w:r>
        <w:rPr>
          <w:lang w:val="en-US"/>
        </w:rPr>
        <w:t>Arakeri</w:t>
      </w:r>
      <w:proofErr w:type="spellEnd"/>
      <w:r w:rsidR="00DA5265" w:rsidRPr="00FD2F02">
        <w:rPr>
          <w:lang w:val="en-US"/>
        </w:rPr>
        <w:t xml:space="preserve">, </w:t>
      </w:r>
      <w:r>
        <w:rPr>
          <w:lang w:val="en-US"/>
        </w:rPr>
        <w:t>V</w:t>
      </w:r>
      <w:r w:rsidR="00DA5265" w:rsidRPr="00FD2F02">
        <w:rPr>
          <w:lang w:val="en-US"/>
        </w:rPr>
        <w:t>.</w:t>
      </w:r>
      <w:r w:rsidR="00DA5265">
        <w:rPr>
          <w:lang w:val="en-US"/>
        </w:rPr>
        <w:t xml:space="preserve"> </w:t>
      </w:r>
      <w:r>
        <w:rPr>
          <w:lang w:val="en-US"/>
        </w:rPr>
        <w:t>H</w:t>
      </w:r>
      <w:r w:rsidR="00DA5265">
        <w:rPr>
          <w:lang w:val="en-US"/>
        </w:rPr>
        <w:t xml:space="preserve">., </w:t>
      </w:r>
      <w:proofErr w:type="spellStart"/>
      <w:r>
        <w:rPr>
          <w:lang w:val="en-US"/>
        </w:rPr>
        <w:t>Krothapalli</w:t>
      </w:r>
      <w:proofErr w:type="spellEnd"/>
      <w:r w:rsidR="00DA5265">
        <w:rPr>
          <w:lang w:val="en-US"/>
        </w:rPr>
        <w:t xml:space="preserve">, </w:t>
      </w:r>
      <w:r>
        <w:rPr>
          <w:lang w:val="en-US"/>
        </w:rPr>
        <w:t>A</w:t>
      </w:r>
      <w:r w:rsidR="00DA5265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Siddavaram</w:t>
      </w:r>
      <w:proofErr w:type="spellEnd"/>
      <w:r>
        <w:rPr>
          <w:lang w:val="en-US"/>
        </w:rPr>
        <w:t xml:space="preserve">, V., </w:t>
      </w:r>
      <w:proofErr w:type="spellStart"/>
      <w:r>
        <w:rPr>
          <w:lang w:val="en-US"/>
        </w:rPr>
        <w:t>Alkislar</w:t>
      </w:r>
      <w:proofErr w:type="spellEnd"/>
      <w:r>
        <w:rPr>
          <w:lang w:val="en-US"/>
        </w:rPr>
        <w:t>, M. B.</w:t>
      </w:r>
      <w:r w:rsidR="00DA5265" w:rsidRPr="00FD2F02">
        <w:rPr>
          <w:lang w:val="en-US"/>
        </w:rPr>
        <w:t xml:space="preserve"> and </w:t>
      </w:r>
      <w:r>
        <w:rPr>
          <w:lang w:val="en-US"/>
        </w:rPr>
        <w:t>Lourenco</w:t>
      </w:r>
      <w:r w:rsidR="00DA5265" w:rsidRPr="00FD2F02">
        <w:rPr>
          <w:lang w:val="en-US"/>
        </w:rPr>
        <w:t xml:space="preserve">, </w:t>
      </w:r>
      <w:r>
        <w:rPr>
          <w:lang w:val="en-US"/>
        </w:rPr>
        <w:t xml:space="preserve">L. </w:t>
      </w:r>
      <w:r w:rsidR="00DA5265" w:rsidRPr="00FD2F02">
        <w:rPr>
          <w:lang w:val="en-US"/>
        </w:rPr>
        <w:t xml:space="preserve">M.: </w:t>
      </w:r>
      <w:r w:rsidR="00A65E6A" w:rsidRPr="00A65E6A">
        <w:rPr>
          <w:lang w:val="en-US"/>
        </w:rPr>
        <w:t xml:space="preserve">On the use of </w:t>
      </w:r>
      <w:proofErr w:type="spellStart"/>
      <w:r w:rsidR="00A65E6A" w:rsidRPr="00A65E6A">
        <w:rPr>
          <w:lang w:val="en-US"/>
        </w:rPr>
        <w:t>microjets</w:t>
      </w:r>
      <w:proofErr w:type="spellEnd"/>
      <w:r w:rsidR="00A65E6A" w:rsidRPr="00A65E6A">
        <w:rPr>
          <w:lang w:val="en-US"/>
        </w:rPr>
        <w:t xml:space="preserve"> to suppress turbulence in a Mach 0.9 axisymmetric jet</w:t>
      </w:r>
      <w:r w:rsidR="00DA5265" w:rsidRPr="00FD2F02">
        <w:rPr>
          <w:lang w:val="en-US"/>
        </w:rPr>
        <w:t xml:space="preserve">.  </w:t>
      </w:r>
      <w:proofErr w:type="gramStart"/>
      <w:r w:rsidR="00DA5265">
        <w:rPr>
          <w:lang w:val="en-US"/>
        </w:rPr>
        <w:t xml:space="preserve">Journal of Fluid Mechanics, vol. </w:t>
      </w:r>
      <w:r w:rsidR="00E912C0">
        <w:rPr>
          <w:lang w:val="en-US"/>
        </w:rPr>
        <w:t>490, pp. 75</w:t>
      </w:r>
      <w:r w:rsidR="00DA5265">
        <w:rPr>
          <w:lang w:val="en-US"/>
        </w:rPr>
        <w:t>-</w:t>
      </w:r>
      <w:r w:rsidR="00E912C0">
        <w:rPr>
          <w:lang w:val="en-US"/>
        </w:rPr>
        <w:t>98</w:t>
      </w:r>
      <w:r w:rsidR="00DA5265">
        <w:rPr>
          <w:lang w:val="en-US"/>
        </w:rPr>
        <w:t xml:space="preserve">, </w:t>
      </w:r>
      <w:r w:rsidR="00E912C0">
        <w:rPr>
          <w:lang w:val="en-US"/>
        </w:rPr>
        <w:t>2003.</w:t>
      </w:r>
      <w:proofErr w:type="gramEnd"/>
    </w:p>
    <w:p w:rsidR="0088630E" w:rsidRDefault="0088630E" w:rsidP="0088630E">
      <w:pPr>
        <w:pStyle w:val="Reference"/>
        <w:rPr>
          <w:lang w:val="en-US"/>
        </w:rPr>
      </w:pPr>
      <w:r>
        <w:rPr>
          <w:lang w:val="en-US"/>
        </w:rPr>
        <w:t>Bridges</w:t>
      </w:r>
      <w:r w:rsidRPr="00DD38BC">
        <w:rPr>
          <w:lang w:val="en-US"/>
        </w:rPr>
        <w:t xml:space="preserve">, </w:t>
      </w:r>
      <w:r>
        <w:rPr>
          <w:lang w:val="en-US"/>
        </w:rPr>
        <w:t>J</w:t>
      </w:r>
      <w:r w:rsidRPr="00DD38BC">
        <w:rPr>
          <w:lang w:val="en-US"/>
        </w:rPr>
        <w:t>.</w:t>
      </w:r>
      <w:r>
        <w:rPr>
          <w:lang w:val="en-US"/>
        </w:rPr>
        <w:t xml:space="preserve"> and</w:t>
      </w:r>
      <w:r w:rsidRPr="00DD38BC">
        <w:rPr>
          <w:lang w:val="en-US"/>
        </w:rPr>
        <w:t xml:space="preserve"> </w:t>
      </w:r>
      <w:proofErr w:type="spellStart"/>
      <w:r>
        <w:rPr>
          <w:lang w:val="en-US"/>
        </w:rPr>
        <w:t>Wernet</w:t>
      </w:r>
      <w:proofErr w:type="spellEnd"/>
      <w:r w:rsidRPr="00DD38BC">
        <w:rPr>
          <w:lang w:val="en-US"/>
        </w:rPr>
        <w:t xml:space="preserve">, </w:t>
      </w:r>
      <w:r>
        <w:rPr>
          <w:lang w:val="en-US"/>
        </w:rPr>
        <w:t>M. P.:</w:t>
      </w:r>
      <w:r w:rsidRPr="00DD38BC">
        <w:rPr>
          <w:lang w:val="en-US"/>
        </w:rPr>
        <w:t xml:space="preserve"> </w:t>
      </w:r>
      <w:r w:rsidRPr="0041544B">
        <w:rPr>
          <w:lang w:val="en-US"/>
        </w:rPr>
        <w:t>Establishing Consensus Turbulence Statistics for Hot Subsonic Jets</w:t>
      </w:r>
      <w:r>
        <w:rPr>
          <w:lang w:val="en-US"/>
        </w:rPr>
        <w:t>.</w:t>
      </w:r>
      <w:r w:rsidRPr="00DD38BC">
        <w:rPr>
          <w:lang w:val="en-US"/>
        </w:rPr>
        <w:t xml:space="preserve"> </w:t>
      </w:r>
      <w:proofErr w:type="gramStart"/>
      <w:r>
        <w:rPr>
          <w:lang w:val="en-US"/>
        </w:rPr>
        <w:t>AIAA Paper, AIAA-2010-3751.</w:t>
      </w:r>
      <w:proofErr w:type="gramEnd"/>
    </w:p>
    <w:p w:rsidR="0088630E" w:rsidRDefault="0088630E" w:rsidP="0088630E">
      <w:pPr>
        <w:pStyle w:val="Reference"/>
        <w:rPr>
          <w:lang w:val="en-US"/>
        </w:rPr>
      </w:pPr>
      <w:r>
        <w:rPr>
          <w:lang w:val="en-US"/>
        </w:rPr>
        <w:t>Lau</w:t>
      </w:r>
      <w:r w:rsidRPr="00FD2F02">
        <w:rPr>
          <w:lang w:val="en-US"/>
        </w:rPr>
        <w:t>, J.</w:t>
      </w:r>
      <w:r>
        <w:rPr>
          <w:lang w:val="en-US"/>
        </w:rPr>
        <w:t xml:space="preserve"> C., Morris, P.J.</w:t>
      </w:r>
      <w:r w:rsidRPr="00FD2F02">
        <w:rPr>
          <w:lang w:val="en-US"/>
        </w:rPr>
        <w:t xml:space="preserve"> and </w:t>
      </w:r>
      <w:r>
        <w:rPr>
          <w:lang w:val="en-US"/>
        </w:rPr>
        <w:t>Fischer</w:t>
      </w:r>
      <w:r w:rsidRPr="00FD2F02">
        <w:rPr>
          <w:lang w:val="en-US"/>
        </w:rPr>
        <w:t>, M.</w:t>
      </w:r>
      <w:r>
        <w:rPr>
          <w:lang w:val="en-US"/>
        </w:rPr>
        <w:t xml:space="preserve"> J.</w:t>
      </w:r>
      <w:r w:rsidRPr="00FD2F02">
        <w:rPr>
          <w:lang w:val="en-US"/>
        </w:rPr>
        <w:t xml:space="preserve">: </w:t>
      </w:r>
      <w:r>
        <w:rPr>
          <w:lang w:val="en-US"/>
        </w:rPr>
        <w:t xml:space="preserve">Measurements in subsonic and supersonic free jets using a laser </w:t>
      </w:r>
      <w:proofErr w:type="spellStart"/>
      <w:r>
        <w:rPr>
          <w:lang w:val="en-US"/>
        </w:rPr>
        <w:t>velocimeter</w:t>
      </w:r>
      <w:proofErr w:type="spellEnd"/>
      <w:r w:rsidRPr="00FD2F02">
        <w:rPr>
          <w:lang w:val="en-US"/>
        </w:rPr>
        <w:t xml:space="preserve">.  </w:t>
      </w:r>
      <w:proofErr w:type="gramStart"/>
      <w:r>
        <w:rPr>
          <w:lang w:val="en-US"/>
        </w:rPr>
        <w:t>Journal of Fluid Mechanics, vol. 93, pp. 1-27, 1979</w:t>
      </w:r>
      <w:r w:rsidRPr="00FD2F02">
        <w:rPr>
          <w:lang w:val="en-US"/>
        </w:rPr>
        <w:t>.</w:t>
      </w:r>
      <w:proofErr w:type="gramEnd"/>
    </w:p>
    <w:p w:rsidR="0088630E" w:rsidRDefault="0088630E" w:rsidP="0088630E">
      <w:pPr>
        <w:pStyle w:val="Reference"/>
        <w:rPr>
          <w:lang w:val="en-US"/>
        </w:rPr>
      </w:pPr>
      <w:r>
        <w:rPr>
          <w:lang w:val="en-US"/>
        </w:rPr>
        <w:t>Lau, J.C.</w:t>
      </w:r>
      <w:r w:rsidRPr="00C438F5">
        <w:rPr>
          <w:lang w:val="en-US"/>
        </w:rPr>
        <w:t xml:space="preserve">.: </w:t>
      </w:r>
      <w:r w:rsidRPr="006B6FA8">
        <w:rPr>
          <w:lang w:val="en-US"/>
        </w:rPr>
        <w:t>Effects of exit Mach number and temperature on mean-flow and turbulence characteristics in round jets</w:t>
      </w:r>
      <w:r>
        <w:rPr>
          <w:lang w:val="en-US"/>
        </w:rPr>
        <w:t>.</w:t>
      </w:r>
      <w:r w:rsidRPr="00C438F5">
        <w:rPr>
          <w:lang w:val="en-US"/>
        </w:rPr>
        <w:t xml:space="preserve"> </w:t>
      </w:r>
      <w:proofErr w:type="gramStart"/>
      <w:r>
        <w:rPr>
          <w:lang w:val="en-US"/>
        </w:rPr>
        <w:t>Journal of Fluid Mechanics, vol. 105, pp. 193-218, 1981.</w:t>
      </w:r>
      <w:proofErr w:type="gramEnd"/>
    </w:p>
    <w:p w:rsidR="00677BCD" w:rsidRDefault="00677BCD" w:rsidP="00677BCD">
      <w:pPr>
        <w:pStyle w:val="Reference"/>
        <w:rPr>
          <w:lang w:val="en-US"/>
        </w:rPr>
      </w:pPr>
      <w:r>
        <w:rPr>
          <w:lang w:val="en-US"/>
        </w:rPr>
        <w:t>Sh</w:t>
      </w:r>
      <w:r w:rsidR="00583FAE">
        <w:rPr>
          <w:lang w:val="en-US"/>
        </w:rPr>
        <w:t>ields</w:t>
      </w:r>
      <w:r w:rsidRPr="00DD38BC">
        <w:rPr>
          <w:lang w:val="en-US"/>
        </w:rPr>
        <w:t xml:space="preserve">, </w:t>
      </w:r>
      <w:r w:rsidR="00583FAE">
        <w:rPr>
          <w:lang w:val="en-US"/>
        </w:rPr>
        <w:t>F</w:t>
      </w:r>
      <w:r>
        <w:rPr>
          <w:lang w:val="en-US"/>
        </w:rPr>
        <w:t xml:space="preserve">. </w:t>
      </w:r>
      <w:r w:rsidR="00583FAE">
        <w:rPr>
          <w:lang w:val="en-US"/>
        </w:rPr>
        <w:t>D</w:t>
      </w:r>
      <w:r>
        <w:rPr>
          <w:lang w:val="en-US"/>
        </w:rPr>
        <w:t>.</w:t>
      </w:r>
      <w:r w:rsidR="00583FAE">
        <w:rPr>
          <w:lang w:val="en-US"/>
        </w:rPr>
        <w:t xml:space="preserve"> and Bass</w:t>
      </w:r>
      <w:r w:rsidRPr="00DD38BC">
        <w:rPr>
          <w:lang w:val="en-US"/>
        </w:rPr>
        <w:t xml:space="preserve">, </w:t>
      </w:r>
      <w:r w:rsidR="008917D1">
        <w:rPr>
          <w:lang w:val="en-US"/>
        </w:rPr>
        <w:t>H. E.</w:t>
      </w:r>
      <w:r>
        <w:rPr>
          <w:lang w:val="en-US"/>
        </w:rPr>
        <w:t xml:space="preserve">: </w:t>
      </w:r>
      <w:r w:rsidR="00821E6E">
        <w:rPr>
          <w:lang w:val="en-US"/>
        </w:rPr>
        <w:t>Atmospheric absorption of high frequency noise and application to fractional-octave bands</w:t>
      </w:r>
      <w:r w:rsidRPr="00DD38BC">
        <w:rPr>
          <w:lang w:val="en-US"/>
        </w:rPr>
        <w:t xml:space="preserve">, </w:t>
      </w:r>
      <w:r w:rsidR="008917D1">
        <w:rPr>
          <w:lang w:val="en-US"/>
        </w:rPr>
        <w:t>NASA Contractor Report 2760, prepared by University of Mississippi</w:t>
      </w:r>
      <w:r>
        <w:rPr>
          <w:lang w:val="en-US"/>
        </w:rPr>
        <w:t xml:space="preserve">, </w:t>
      </w:r>
      <w:r w:rsidR="008917D1">
        <w:rPr>
          <w:lang w:val="en-US"/>
        </w:rPr>
        <w:t>1977</w:t>
      </w:r>
      <w:r>
        <w:rPr>
          <w:lang w:val="en-US"/>
        </w:rPr>
        <w:t>.</w:t>
      </w:r>
    </w:p>
    <w:p w:rsidR="00220820" w:rsidRDefault="00220820" w:rsidP="00220820">
      <w:pPr>
        <w:pStyle w:val="Reference"/>
        <w:rPr>
          <w:lang w:val="en-US"/>
        </w:rPr>
      </w:pPr>
      <w:proofErr w:type="spellStart"/>
      <w:r>
        <w:rPr>
          <w:lang w:val="en-US"/>
        </w:rPr>
        <w:t>Shur</w:t>
      </w:r>
      <w:proofErr w:type="spellEnd"/>
      <w:r w:rsidRPr="00DD38BC">
        <w:rPr>
          <w:lang w:val="en-US"/>
        </w:rPr>
        <w:t xml:space="preserve">, </w:t>
      </w:r>
      <w:r>
        <w:rPr>
          <w:lang w:val="en-US"/>
        </w:rPr>
        <w:t>M. L.</w:t>
      </w:r>
      <w:r w:rsidRPr="00DD38BC">
        <w:rPr>
          <w:lang w:val="en-US"/>
        </w:rPr>
        <w:t xml:space="preserve">, </w:t>
      </w:r>
      <w:proofErr w:type="spellStart"/>
      <w:r>
        <w:rPr>
          <w:lang w:val="en-US"/>
        </w:rPr>
        <w:t>Spalart</w:t>
      </w:r>
      <w:proofErr w:type="spellEnd"/>
      <w:r w:rsidRPr="00DD38BC">
        <w:rPr>
          <w:lang w:val="en-US"/>
        </w:rPr>
        <w:t xml:space="preserve">, </w:t>
      </w:r>
      <w:r>
        <w:rPr>
          <w:lang w:val="en-US"/>
        </w:rPr>
        <w:t xml:space="preserve">P. R. </w:t>
      </w:r>
      <w:r w:rsidRPr="00DD38BC">
        <w:rPr>
          <w:lang w:val="en-US"/>
        </w:rPr>
        <w:t xml:space="preserve">and </w:t>
      </w:r>
      <w:proofErr w:type="spellStart"/>
      <w:r>
        <w:rPr>
          <w:lang w:val="en-US"/>
        </w:rPr>
        <w:t>Strelets</w:t>
      </w:r>
      <w:proofErr w:type="spellEnd"/>
      <w:r w:rsidRPr="00DD38BC">
        <w:rPr>
          <w:lang w:val="en-US"/>
        </w:rPr>
        <w:t>, M.</w:t>
      </w:r>
      <w:r>
        <w:rPr>
          <w:lang w:val="en-US"/>
        </w:rPr>
        <w:t xml:space="preserve"> K.:</w:t>
      </w:r>
      <w:r w:rsidR="002655A7">
        <w:rPr>
          <w:lang w:val="en-US"/>
        </w:rPr>
        <w:t xml:space="preserve"> Noise prediction for increasingly complex jets. Part I: Methods and tests</w:t>
      </w:r>
      <w:r w:rsidRPr="00DD38BC">
        <w:rPr>
          <w:lang w:val="en-US"/>
        </w:rPr>
        <w:t xml:space="preserve">, </w:t>
      </w:r>
      <w:r w:rsidR="002655A7">
        <w:rPr>
          <w:lang w:val="en-US"/>
        </w:rPr>
        <w:t xml:space="preserve">International Journal of </w:t>
      </w:r>
      <w:proofErr w:type="spellStart"/>
      <w:r w:rsidR="002655A7">
        <w:rPr>
          <w:lang w:val="en-US"/>
        </w:rPr>
        <w:t>Aeroacoustics</w:t>
      </w:r>
      <w:proofErr w:type="spellEnd"/>
      <w:r>
        <w:rPr>
          <w:lang w:val="en-US"/>
        </w:rPr>
        <w:t xml:space="preserve">, vol. </w:t>
      </w:r>
      <w:r w:rsidR="002655A7">
        <w:rPr>
          <w:lang w:val="en-US"/>
        </w:rPr>
        <w:t>4</w:t>
      </w:r>
      <w:r>
        <w:rPr>
          <w:lang w:val="en-US"/>
        </w:rPr>
        <w:t xml:space="preserve">, </w:t>
      </w:r>
      <w:r w:rsidR="002655A7">
        <w:rPr>
          <w:lang w:val="en-US"/>
        </w:rPr>
        <w:t xml:space="preserve">no. 3 &amp; 4, </w:t>
      </w:r>
      <w:r>
        <w:rPr>
          <w:lang w:val="en-US"/>
        </w:rPr>
        <w:t xml:space="preserve">pp. </w:t>
      </w:r>
      <w:r w:rsidR="002655A7">
        <w:rPr>
          <w:lang w:val="en-US"/>
        </w:rPr>
        <w:t>213</w:t>
      </w:r>
      <w:r>
        <w:rPr>
          <w:lang w:val="en-US"/>
        </w:rPr>
        <w:t>-</w:t>
      </w:r>
      <w:r w:rsidR="002655A7">
        <w:rPr>
          <w:lang w:val="en-US"/>
        </w:rPr>
        <w:t>246</w:t>
      </w:r>
      <w:r>
        <w:rPr>
          <w:lang w:val="en-US"/>
        </w:rPr>
        <w:t>, 20</w:t>
      </w:r>
      <w:r w:rsidR="002655A7">
        <w:rPr>
          <w:lang w:val="en-US"/>
        </w:rPr>
        <w:t>05</w:t>
      </w:r>
      <w:r>
        <w:rPr>
          <w:lang w:val="en-US"/>
        </w:rPr>
        <w:t>.</w:t>
      </w:r>
    </w:p>
    <w:p w:rsidR="0001145F" w:rsidRDefault="0001145F" w:rsidP="0001145F">
      <w:pPr>
        <w:pStyle w:val="Reference"/>
        <w:rPr>
          <w:lang w:val="en-US"/>
        </w:rPr>
      </w:pPr>
      <w:proofErr w:type="spellStart"/>
      <w:r>
        <w:rPr>
          <w:lang w:val="en-US"/>
        </w:rPr>
        <w:t>Sh</w:t>
      </w:r>
      <w:r w:rsidR="00CE0F4C">
        <w:rPr>
          <w:lang w:val="en-US"/>
        </w:rPr>
        <w:t>ur</w:t>
      </w:r>
      <w:proofErr w:type="spellEnd"/>
      <w:r w:rsidRPr="00DD38BC">
        <w:rPr>
          <w:lang w:val="en-US"/>
        </w:rPr>
        <w:t xml:space="preserve">, </w:t>
      </w:r>
      <w:r w:rsidR="00CE0F4C">
        <w:rPr>
          <w:lang w:val="en-US"/>
        </w:rPr>
        <w:t>M. L.</w:t>
      </w:r>
      <w:r w:rsidRPr="00DD38BC">
        <w:rPr>
          <w:lang w:val="en-US"/>
        </w:rPr>
        <w:t xml:space="preserve">, </w:t>
      </w:r>
      <w:proofErr w:type="spellStart"/>
      <w:r w:rsidR="00CE0F4C">
        <w:rPr>
          <w:lang w:val="en-US"/>
        </w:rPr>
        <w:t>Spalart</w:t>
      </w:r>
      <w:proofErr w:type="spellEnd"/>
      <w:r w:rsidRPr="00DD38BC">
        <w:rPr>
          <w:lang w:val="en-US"/>
        </w:rPr>
        <w:t xml:space="preserve">, </w:t>
      </w:r>
      <w:r w:rsidR="00CE0F4C">
        <w:rPr>
          <w:lang w:val="en-US"/>
        </w:rPr>
        <w:t>P</w:t>
      </w:r>
      <w:r>
        <w:rPr>
          <w:lang w:val="en-US"/>
        </w:rPr>
        <w:t>.</w:t>
      </w:r>
      <w:r w:rsidR="00CE0F4C">
        <w:rPr>
          <w:lang w:val="en-US"/>
        </w:rPr>
        <w:t xml:space="preserve"> R.</w:t>
      </w:r>
      <w:r>
        <w:rPr>
          <w:lang w:val="en-US"/>
        </w:rPr>
        <w:t xml:space="preserve"> </w:t>
      </w:r>
      <w:r w:rsidRPr="00DD38BC">
        <w:rPr>
          <w:lang w:val="en-US"/>
        </w:rPr>
        <w:t xml:space="preserve">and </w:t>
      </w:r>
      <w:proofErr w:type="spellStart"/>
      <w:r w:rsidR="00CE0F4C">
        <w:rPr>
          <w:lang w:val="en-US"/>
        </w:rPr>
        <w:t>Strelets</w:t>
      </w:r>
      <w:proofErr w:type="spellEnd"/>
      <w:r w:rsidRPr="00DD38BC">
        <w:rPr>
          <w:lang w:val="en-US"/>
        </w:rPr>
        <w:t>, M.</w:t>
      </w:r>
      <w:r w:rsidR="00CE0F4C">
        <w:rPr>
          <w:lang w:val="en-US"/>
        </w:rPr>
        <w:t xml:space="preserve"> K.</w:t>
      </w:r>
      <w:r>
        <w:rPr>
          <w:lang w:val="en-US"/>
        </w:rPr>
        <w:t>:</w:t>
      </w:r>
      <w:r w:rsidRPr="00DD38BC">
        <w:rPr>
          <w:lang w:val="en-US"/>
        </w:rPr>
        <w:t xml:space="preserve"> </w:t>
      </w:r>
      <w:r w:rsidR="00CE0F4C">
        <w:rPr>
          <w:lang w:val="en-US"/>
        </w:rPr>
        <w:t xml:space="preserve">LES-based evaluation of a </w:t>
      </w:r>
      <w:proofErr w:type="spellStart"/>
      <w:r w:rsidR="00CE0F4C">
        <w:rPr>
          <w:lang w:val="en-US"/>
        </w:rPr>
        <w:t>microjet</w:t>
      </w:r>
      <w:proofErr w:type="spellEnd"/>
      <w:r w:rsidR="00CE0F4C">
        <w:rPr>
          <w:lang w:val="en-US"/>
        </w:rPr>
        <w:t xml:space="preserve"> noise reduction concept in static and flight conditions</w:t>
      </w:r>
      <w:r w:rsidRPr="00DD38BC">
        <w:rPr>
          <w:lang w:val="en-US"/>
        </w:rPr>
        <w:t xml:space="preserve">, </w:t>
      </w:r>
      <w:r w:rsidR="002B67ED">
        <w:rPr>
          <w:lang w:val="en-US"/>
        </w:rPr>
        <w:t>Journal of Sound and Vibration</w:t>
      </w:r>
      <w:r>
        <w:rPr>
          <w:lang w:val="en-US"/>
        </w:rPr>
        <w:t>, vol. 3</w:t>
      </w:r>
      <w:r w:rsidR="002B67ED">
        <w:rPr>
          <w:lang w:val="en-US"/>
        </w:rPr>
        <w:t>30</w:t>
      </w:r>
      <w:r>
        <w:rPr>
          <w:lang w:val="en-US"/>
        </w:rPr>
        <w:t xml:space="preserve">, pp. </w:t>
      </w:r>
      <w:r w:rsidR="002B67ED">
        <w:rPr>
          <w:lang w:val="en-US"/>
        </w:rPr>
        <w:t>4083-4097,</w:t>
      </w:r>
      <w:r>
        <w:rPr>
          <w:lang w:val="en-US"/>
        </w:rPr>
        <w:t xml:space="preserve"> 20</w:t>
      </w:r>
      <w:r w:rsidR="002B67ED">
        <w:rPr>
          <w:lang w:val="en-US"/>
        </w:rPr>
        <w:t>1</w:t>
      </w:r>
      <w:r>
        <w:rPr>
          <w:lang w:val="en-US"/>
        </w:rPr>
        <w:t>1.</w:t>
      </w:r>
    </w:p>
    <w:p w:rsidR="00DD38BC" w:rsidRDefault="008E702C" w:rsidP="00DD38BC">
      <w:pPr>
        <w:pStyle w:val="Reference"/>
        <w:rPr>
          <w:lang w:val="en-US"/>
        </w:rPr>
      </w:pPr>
      <w:proofErr w:type="spellStart"/>
      <w:r>
        <w:rPr>
          <w:lang w:val="en-US"/>
        </w:rPr>
        <w:t>Simonich</w:t>
      </w:r>
      <w:proofErr w:type="spellEnd"/>
      <w:r w:rsidR="00DD38BC" w:rsidRPr="00DD38BC">
        <w:rPr>
          <w:lang w:val="en-US"/>
        </w:rPr>
        <w:t xml:space="preserve">, </w:t>
      </w:r>
      <w:r>
        <w:rPr>
          <w:lang w:val="en-US"/>
        </w:rPr>
        <w:t>J</w:t>
      </w:r>
      <w:r w:rsidR="00DD38BC" w:rsidRPr="00DD38BC">
        <w:rPr>
          <w:lang w:val="en-US"/>
        </w:rPr>
        <w:t xml:space="preserve">. </w:t>
      </w:r>
      <w:r>
        <w:rPr>
          <w:lang w:val="en-US"/>
        </w:rPr>
        <w:t>C</w:t>
      </w:r>
      <w:r w:rsidR="00DD38BC" w:rsidRPr="00DD38BC">
        <w:rPr>
          <w:lang w:val="en-US"/>
        </w:rPr>
        <w:t xml:space="preserve">., </w:t>
      </w:r>
      <w:r>
        <w:rPr>
          <w:lang w:val="en-US"/>
        </w:rPr>
        <w:t>Narayanan</w:t>
      </w:r>
      <w:r w:rsidR="00DD38BC" w:rsidRPr="00DD38BC">
        <w:rPr>
          <w:lang w:val="en-US"/>
        </w:rPr>
        <w:t xml:space="preserve">, </w:t>
      </w:r>
      <w:r>
        <w:rPr>
          <w:lang w:val="en-US"/>
        </w:rPr>
        <w:t>S.</w:t>
      </w:r>
      <w:r w:rsidR="00DD38BC" w:rsidRPr="00DD38BC">
        <w:rPr>
          <w:lang w:val="en-US"/>
        </w:rPr>
        <w:t>,</w:t>
      </w:r>
      <w:r>
        <w:rPr>
          <w:lang w:val="en-US"/>
        </w:rPr>
        <w:t xml:space="preserve"> Barber, T. J. </w:t>
      </w:r>
      <w:r w:rsidR="00DD38BC" w:rsidRPr="00DD38BC">
        <w:rPr>
          <w:lang w:val="en-US"/>
        </w:rPr>
        <w:t xml:space="preserve">and </w:t>
      </w:r>
      <w:r>
        <w:rPr>
          <w:lang w:val="en-US"/>
        </w:rPr>
        <w:t>Nishimura</w:t>
      </w:r>
      <w:r w:rsidR="00DD38BC" w:rsidRPr="00DD38BC">
        <w:rPr>
          <w:lang w:val="en-US"/>
        </w:rPr>
        <w:t>, M.</w:t>
      </w:r>
      <w:r w:rsidR="002819D1">
        <w:rPr>
          <w:lang w:val="en-US"/>
        </w:rPr>
        <w:t>:</w:t>
      </w:r>
      <w:r w:rsidR="00DD38BC" w:rsidRPr="00DD38BC">
        <w:rPr>
          <w:lang w:val="en-US"/>
        </w:rPr>
        <w:t xml:space="preserve"> </w:t>
      </w:r>
      <w:proofErr w:type="spellStart"/>
      <w:r w:rsidR="002819D1" w:rsidRPr="002819D1">
        <w:rPr>
          <w:lang w:val="en-US"/>
        </w:rPr>
        <w:t>Aeroacoustic</w:t>
      </w:r>
      <w:proofErr w:type="spellEnd"/>
      <w:r w:rsidR="002819D1" w:rsidRPr="002819D1">
        <w:rPr>
          <w:lang w:val="en-US"/>
        </w:rPr>
        <w:t xml:space="preserve"> characterization, noise reduction and dimensional scaling effects of high subsonic jets</w:t>
      </w:r>
      <w:r w:rsidR="00DD38BC" w:rsidRPr="00DD38BC">
        <w:rPr>
          <w:lang w:val="en-US"/>
        </w:rPr>
        <w:t>, AIAA</w:t>
      </w:r>
      <w:r w:rsidR="007B647A">
        <w:rPr>
          <w:lang w:val="en-US"/>
        </w:rPr>
        <w:t xml:space="preserve"> Journal, vol. 39, pp. 2062-2069, 2001.</w:t>
      </w:r>
    </w:p>
    <w:p w:rsidR="004719FB" w:rsidRDefault="003144E9" w:rsidP="00700548">
      <w:pPr>
        <w:pStyle w:val="Reference"/>
        <w:rPr>
          <w:rFonts w:cs="Arial"/>
        </w:rPr>
      </w:pPr>
      <w:proofErr w:type="spellStart"/>
      <w:r>
        <w:rPr>
          <w:lang w:val="en-US"/>
        </w:rPr>
        <w:t>Viswanathan</w:t>
      </w:r>
      <w:proofErr w:type="spellEnd"/>
      <w:r w:rsidR="00196106" w:rsidRPr="00DD38BC">
        <w:rPr>
          <w:lang w:val="en-US"/>
        </w:rPr>
        <w:t xml:space="preserve">, </w:t>
      </w:r>
      <w:r>
        <w:rPr>
          <w:lang w:val="en-US"/>
        </w:rPr>
        <w:t>K</w:t>
      </w:r>
      <w:r w:rsidR="00196106" w:rsidRPr="00DD38BC">
        <w:rPr>
          <w:lang w:val="en-US"/>
        </w:rPr>
        <w:t>.</w:t>
      </w:r>
      <w:r w:rsidR="00196106">
        <w:rPr>
          <w:lang w:val="en-US"/>
        </w:rPr>
        <w:t>:</w:t>
      </w:r>
      <w:r w:rsidR="00196106" w:rsidRPr="00DD38BC">
        <w:rPr>
          <w:lang w:val="en-US"/>
        </w:rPr>
        <w:t xml:space="preserve"> </w:t>
      </w:r>
      <w:r>
        <w:rPr>
          <w:lang w:val="en-US"/>
        </w:rPr>
        <w:t>Aerodynamics of hot jets</w:t>
      </w:r>
      <w:r w:rsidR="00196106">
        <w:rPr>
          <w:lang w:val="en-US"/>
        </w:rPr>
        <w:t>.</w:t>
      </w:r>
      <w:r w:rsidR="00196106" w:rsidRPr="00DD38BC">
        <w:rPr>
          <w:lang w:val="en-US"/>
        </w:rPr>
        <w:t xml:space="preserve"> </w:t>
      </w:r>
      <w:proofErr w:type="gramStart"/>
      <w:r>
        <w:rPr>
          <w:lang w:val="en-US"/>
        </w:rPr>
        <w:t xml:space="preserve">Journal of Fluid Mechanics, vol. </w:t>
      </w:r>
      <w:r w:rsidRPr="003144E9">
        <w:rPr>
          <w:lang w:val="en-US"/>
        </w:rPr>
        <w:t>516</w:t>
      </w:r>
      <w:r>
        <w:rPr>
          <w:lang w:val="en-US"/>
        </w:rPr>
        <w:t>, pp.</w:t>
      </w:r>
      <w:r w:rsidRPr="003144E9">
        <w:rPr>
          <w:lang w:val="en-US"/>
        </w:rPr>
        <w:t xml:space="preserve"> 39–82</w:t>
      </w:r>
      <w:r>
        <w:rPr>
          <w:lang w:val="en-US"/>
        </w:rPr>
        <w:t>, 2004.</w:t>
      </w:r>
      <w:proofErr w:type="gramEnd"/>
    </w:p>
    <w:sectPr w:rsidR="004719FB" w:rsidSect="0045444E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2552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F1" w:rsidRDefault="004B06F1">
      <w:r>
        <w:separator/>
      </w:r>
    </w:p>
    <w:p w:rsidR="004B06F1" w:rsidRDefault="004B06F1"/>
  </w:endnote>
  <w:endnote w:type="continuationSeparator" w:id="0">
    <w:p w:rsidR="004B06F1" w:rsidRDefault="004B06F1">
      <w:r>
        <w:continuationSeparator/>
      </w:r>
    </w:p>
    <w:p w:rsidR="004B06F1" w:rsidRDefault="004B0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sans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1" w:rsidRDefault="004B06F1">
    <w:pPr>
      <w:pStyle w:val="Fuzeile"/>
      <w:framePr w:w="1681" w:h="376" w:hRule="exact" w:wrap="around" w:vAnchor="text" w:hAnchor="page" w:x="9076" w:y="-23"/>
      <w:spacing w:before="120"/>
      <w:rPr>
        <w:rFonts w:cs="Arial"/>
        <w:szCs w:val="22"/>
      </w:rPr>
    </w:pPr>
    <w:r>
      <w:rPr>
        <w:rStyle w:val="Seitenzahl"/>
        <w:rFonts w:cs="Arial"/>
        <w:szCs w:val="22"/>
      </w:rPr>
      <w:t xml:space="preserve">Page </w:t>
    </w:r>
    <w:r w:rsidR="00C343F1">
      <w:rPr>
        <w:rStyle w:val="Seitenzahl"/>
        <w:rFonts w:cs="Arial"/>
        <w:szCs w:val="22"/>
      </w:rPr>
      <w:fldChar w:fldCharType="begin"/>
    </w:r>
    <w:r>
      <w:rPr>
        <w:rStyle w:val="Seitenzahl"/>
        <w:rFonts w:cs="Arial"/>
        <w:szCs w:val="22"/>
      </w:rPr>
      <w:instrText xml:space="preserve">PAGE  </w:instrText>
    </w:r>
    <w:r w:rsidR="00C343F1">
      <w:rPr>
        <w:rStyle w:val="Seitenzahl"/>
        <w:rFonts w:cs="Arial"/>
        <w:szCs w:val="22"/>
      </w:rPr>
      <w:fldChar w:fldCharType="separate"/>
    </w:r>
    <w:r w:rsidR="005F00C2">
      <w:rPr>
        <w:rStyle w:val="Seitenzahl"/>
        <w:rFonts w:cs="Arial"/>
        <w:noProof/>
        <w:szCs w:val="22"/>
      </w:rPr>
      <w:t>9</w:t>
    </w:r>
    <w:r w:rsidR="00C343F1">
      <w:rPr>
        <w:rStyle w:val="Seitenzahl"/>
        <w:rFonts w:cs="Arial"/>
        <w:szCs w:val="22"/>
      </w:rPr>
      <w:fldChar w:fldCharType="end"/>
    </w:r>
    <w:r>
      <w:rPr>
        <w:rStyle w:val="Seitenzahl"/>
        <w:rFonts w:cs="Arial"/>
        <w:szCs w:val="22"/>
      </w:rPr>
      <w:t xml:space="preserve"> of </w:t>
    </w:r>
    <w:fldSimple w:instr=" NUMPAGES  \* Arabic  \* MERGEFORMAT ">
      <w:r w:rsidR="005F00C2">
        <w:rPr>
          <w:noProof/>
        </w:rPr>
        <w:t>9</w:t>
      </w:r>
    </w:fldSimple>
    <w:r>
      <w:rPr>
        <w:rFonts w:cs="Arial"/>
        <w:szCs w:val="22"/>
      </w:rPr>
      <w:tab/>
    </w:r>
    <w:r>
      <w:rPr>
        <w:rFonts w:cs="Arial"/>
        <w:szCs w:val="22"/>
      </w:rPr>
      <w:tab/>
    </w:r>
  </w:p>
  <w:p w:rsidR="004B06F1" w:rsidRDefault="00FC4CC3">
    <w:pPr>
      <w:spacing w:before="120"/>
      <w:rPr>
        <w:rFonts w:cs="Arial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23494</wp:posOffset>
              </wp:positionV>
              <wp:extent cx="6126480" cy="0"/>
              <wp:effectExtent l="0" t="0" r="2667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4pt,1.85pt" to="48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SqkQ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" strokeweight=".26mm">
              <v:stroke joinstyle="miter"/>
            </v:line>
          </w:pict>
        </mc:Fallback>
      </mc:AlternateContent>
    </w:r>
    <w:r>
      <w:rPr>
        <w:rFonts w:cs="Arial"/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-8256</wp:posOffset>
              </wp:positionV>
              <wp:extent cx="6126480" cy="0"/>
              <wp:effectExtent l="0" t="0" r="2667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-.65pt" to="48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1tkg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" strokeweight=".26mm">
              <v:stroke joinstyle="miter"/>
            </v:line>
          </w:pict>
        </mc:Fallback>
      </mc:AlternateContent>
    </w:r>
    <w:r w:rsidR="004B06F1">
      <w:rPr>
        <w:rFonts w:cs="Arial"/>
      </w:rPr>
      <w:t xml:space="preserve">Contract No.  </w:t>
    </w:r>
  </w:p>
  <w:p w:rsidR="004B06F1" w:rsidRDefault="004B06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1" w:rsidRDefault="004B06F1">
    <w:pPr>
      <w:pStyle w:val="Fuzeile"/>
      <w:framePr w:w="1681" w:h="376" w:hRule="exact" w:wrap="around" w:vAnchor="text" w:hAnchor="page" w:x="9076" w:y="-23"/>
      <w:spacing w:before="120"/>
      <w:rPr>
        <w:rFonts w:cs="Arial"/>
        <w:szCs w:val="22"/>
      </w:rPr>
    </w:pPr>
    <w:r>
      <w:rPr>
        <w:rStyle w:val="Seitenzahl"/>
        <w:rFonts w:cs="Arial"/>
        <w:szCs w:val="22"/>
      </w:rPr>
      <w:t xml:space="preserve">Page </w:t>
    </w:r>
    <w:r w:rsidR="00C343F1">
      <w:rPr>
        <w:rStyle w:val="Seitenzahl"/>
        <w:rFonts w:cs="Arial"/>
        <w:szCs w:val="22"/>
      </w:rPr>
      <w:fldChar w:fldCharType="begin"/>
    </w:r>
    <w:r>
      <w:rPr>
        <w:rStyle w:val="Seitenzahl"/>
        <w:rFonts w:cs="Arial"/>
        <w:szCs w:val="22"/>
      </w:rPr>
      <w:instrText xml:space="preserve">PAGE  </w:instrText>
    </w:r>
    <w:r w:rsidR="00C343F1">
      <w:rPr>
        <w:rStyle w:val="Seitenzahl"/>
        <w:rFonts w:cs="Arial"/>
        <w:szCs w:val="22"/>
      </w:rPr>
      <w:fldChar w:fldCharType="separate"/>
    </w:r>
    <w:r w:rsidR="003E1B14">
      <w:rPr>
        <w:rStyle w:val="Seitenzahl"/>
        <w:rFonts w:cs="Arial"/>
        <w:noProof/>
        <w:szCs w:val="22"/>
      </w:rPr>
      <w:t>1</w:t>
    </w:r>
    <w:r w:rsidR="00C343F1">
      <w:rPr>
        <w:rStyle w:val="Seitenzahl"/>
        <w:rFonts w:cs="Arial"/>
        <w:szCs w:val="22"/>
      </w:rPr>
      <w:fldChar w:fldCharType="end"/>
    </w:r>
    <w:r>
      <w:rPr>
        <w:rStyle w:val="Seitenzahl"/>
        <w:rFonts w:cs="Arial"/>
        <w:szCs w:val="22"/>
      </w:rPr>
      <w:t xml:space="preserve"> of </w:t>
    </w:r>
    <w:fldSimple w:instr=" NUMPAGES  \* Arabic  \* MERGEFORMAT ">
      <w:r w:rsidR="003E1B14">
        <w:rPr>
          <w:noProof/>
        </w:rPr>
        <w:t>9</w:t>
      </w:r>
    </w:fldSimple>
    <w:r>
      <w:rPr>
        <w:rFonts w:cs="Arial"/>
        <w:szCs w:val="22"/>
      </w:rPr>
      <w:tab/>
    </w:r>
    <w:r>
      <w:rPr>
        <w:rFonts w:cs="Arial"/>
        <w:szCs w:val="22"/>
      </w:rPr>
      <w:tab/>
    </w:r>
  </w:p>
  <w:p w:rsidR="004B06F1" w:rsidRDefault="00FC4CC3">
    <w:pPr>
      <w:spacing w:before="120"/>
      <w:rPr>
        <w:rFonts w:cs="Arial"/>
      </w:rPr>
    </w:pPr>
    <w:r>
      <w:rPr>
        <w:rFonts w:cs="Arial"/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-8256</wp:posOffset>
              </wp:positionV>
              <wp:extent cx="6126480" cy="0"/>
              <wp:effectExtent l="0" t="0" r="2667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-.65pt" to="48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" strokeweight=".26mm">
              <v:stroke joinstyle="miter"/>
            </v:line>
          </w:pict>
        </mc:Fallback>
      </mc:AlternateContent>
    </w:r>
    <w:r w:rsidR="004B06F1">
      <w:rPr>
        <w:rFonts w:cs="Arial"/>
      </w:rPr>
      <w:t>Contract No.  ACP8-GA-2009-233710-ATAAC</w:t>
    </w:r>
  </w:p>
  <w:p w:rsidR="004B06F1" w:rsidRDefault="004B0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F1" w:rsidRDefault="004B06F1">
      <w:r>
        <w:separator/>
      </w:r>
    </w:p>
    <w:p w:rsidR="004B06F1" w:rsidRDefault="004B06F1"/>
  </w:footnote>
  <w:footnote w:type="continuationSeparator" w:id="0">
    <w:p w:rsidR="004B06F1" w:rsidRDefault="004B06F1">
      <w:r>
        <w:continuationSeparator/>
      </w:r>
    </w:p>
    <w:p w:rsidR="004B06F1" w:rsidRDefault="004B06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1" w:rsidRDefault="00FC4CC3"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1884045</wp:posOffset>
              </wp:positionH>
              <wp:positionV relativeFrom="paragraph">
                <wp:posOffset>631190</wp:posOffset>
              </wp:positionV>
              <wp:extent cx="4228465" cy="208915"/>
              <wp:effectExtent l="0" t="0" r="635" b="63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6F1" w:rsidRDefault="004B06F1">
                          <w:pPr>
                            <w:autoSpaceDE w:val="0"/>
                            <w:jc w:val="right"/>
                            <w:rPr>
                              <w:rFonts w:cs="Arial"/>
                              <w:bCs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Cs/>
                              <w:szCs w:val="28"/>
                            </w:rPr>
                            <w:t>Test case template</w:t>
                          </w:r>
                        </w:p>
                        <w:p w:rsidR="004B06F1" w:rsidRDefault="004B06F1">
                          <w:pPr>
                            <w:autoSpaceDE w:val="0"/>
                            <w:jc w:val="right"/>
                            <w:rPr>
                              <w:rFonts w:cs="Arial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35pt;margin-top:49.7pt;width:332.95pt;height:16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9tegIAAAA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" stroked="f">
              <v:textbox inset="0,0,0,0">
                <w:txbxContent>
                  <w:p w:rsidR="004B06F1" w:rsidRDefault="004B06F1">
                    <w:pPr>
                      <w:autoSpaceDE w:val="0"/>
                      <w:jc w:val="right"/>
                      <w:rPr>
                        <w:rFonts w:cs="Arial"/>
                        <w:bCs/>
                        <w:szCs w:val="28"/>
                      </w:rPr>
                    </w:pPr>
                    <w:r>
                      <w:rPr>
                        <w:rFonts w:cs="Arial"/>
                        <w:bCs/>
                        <w:szCs w:val="28"/>
                      </w:rPr>
                      <w:t>Test case template</w:t>
                    </w:r>
                  </w:p>
                  <w:p w:rsidR="004B06F1" w:rsidRDefault="004B06F1">
                    <w:pPr>
                      <w:autoSpaceDE w:val="0"/>
                      <w:jc w:val="right"/>
                      <w:rPr>
                        <w:rFonts w:cs="Arial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8704580</wp:posOffset>
              </wp:positionH>
              <wp:positionV relativeFrom="page">
                <wp:posOffset>552450</wp:posOffset>
              </wp:positionV>
              <wp:extent cx="1020445" cy="650875"/>
              <wp:effectExtent l="0" t="0" r="27305" b="15875"/>
              <wp:wrapSquare wrapText="largest"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650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6F1" w:rsidRDefault="004B06F1">
                          <w:pPr>
                            <w:jc w:val="center"/>
                          </w:pPr>
                          <w:r>
                            <w:tab/>
                            <w:t>Partner Logo</w:t>
                          </w:r>
                        </w:p>
                        <w:p w:rsidR="004B06F1" w:rsidRDefault="004B06F1">
                          <w:pPr>
                            <w:jc w:val="center"/>
                          </w:pPr>
                          <w:proofErr w:type="gramStart"/>
                          <w:r>
                            <w:t>or</w:t>
                          </w:r>
                          <w:proofErr w:type="gramEnd"/>
                        </w:p>
                        <w:p w:rsidR="004B06F1" w:rsidRDefault="004B06F1">
                          <w:pPr>
                            <w:jc w:val="center"/>
                          </w:pPr>
                          <w:r>
                            <w:t>Partner Name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85.4pt;margin-top:43.5pt;width:80.35pt;height:5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" strokeweight=".5pt">
              <v:fill opacity="0"/>
              <v:textbox inset="1pt,1pt,1pt,1pt">
                <w:txbxContent>
                  <w:p w:rsidR="004B06F1" w:rsidRDefault="004B06F1">
                    <w:pPr>
                      <w:jc w:val="center"/>
                    </w:pPr>
                    <w:r>
                      <w:tab/>
                      <w:t>Partner Logo</w:t>
                    </w:r>
                  </w:p>
                  <w:p w:rsidR="004B06F1" w:rsidRDefault="004B06F1">
                    <w:pPr>
                      <w:jc w:val="center"/>
                    </w:pPr>
                    <w:proofErr w:type="gramStart"/>
                    <w:r>
                      <w:t>or</w:t>
                    </w:r>
                    <w:proofErr w:type="gramEnd"/>
                  </w:p>
                  <w:p w:rsidR="004B06F1" w:rsidRDefault="004B06F1">
                    <w:pPr>
                      <w:jc w:val="center"/>
                    </w:pPr>
                    <w:r>
                      <w:t>Partner Name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4B06F1">
      <w:t xml:space="preserve"> </w:t>
    </w:r>
    <w:r w:rsidR="004B06F1">
      <w:rPr>
        <w:b/>
        <w:noProof/>
        <w:sz w:val="32"/>
        <w:szCs w:val="32"/>
        <w:lang w:val="en-US" w:eastAsia="en-US"/>
      </w:rPr>
      <w:drawing>
        <wp:inline distT="0" distB="0" distL="0" distR="0">
          <wp:extent cx="3462020" cy="789305"/>
          <wp:effectExtent l="0" t="0" r="0" b="0"/>
          <wp:docPr id="5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6F1" w:rsidRDefault="00FC4CC3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8704580</wp:posOffset>
              </wp:positionH>
              <wp:positionV relativeFrom="page">
                <wp:posOffset>552450</wp:posOffset>
              </wp:positionV>
              <wp:extent cx="1020445" cy="650875"/>
              <wp:effectExtent l="0" t="0" r="27305" b="15875"/>
              <wp:wrapSquare wrapText="largest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650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6F1" w:rsidRDefault="004B06F1">
                          <w:pPr>
                            <w:jc w:val="center"/>
                          </w:pPr>
                          <w:r>
                            <w:tab/>
                            <w:t>Partner Logo</w:t>
                          </w:r>
                        </w:p>
                        <w:p w:rsidR="004B06F1" w:rsidRDefault="004B06F1">
                          <w:pPr>
                            <w:jc w:val="center"/>
                          </w:pPr>
                          <w:proofErr w:type="gramStart"/>
                          <w:r>
                            <w:t>or</w:t>
                          </w:r>
                          <w:proofErr w:type="gramEnd"/>
                        </w:p>
                        <w:p w:rsidR="004B06F1" w:rsidRDefault="004B06F1">
                          <w:pPr>
                            <w:jc w:val="center"/>
                          </w:pPr>
                          <w:r>
                            <w:t>Partner Name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685.4pt;margin-top:43.5pt;width:80.35pt;height: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" strokeweight=".5pt">
              <v:fill opacity="0"/>
              <v:textbox inset="1pt,1pt,1pt,1pt">
                <w:txbxContent>
                  <w:p w:rsidR="004B06F1" w:rsidRDefault="004B06F1">
                    <w:pPr>
                      <w:jc w:val="center"/>
                    </w:pPr>
                    <w:r>
                      <w:tab/>
                      <w:t>Partner Logo</w:t>
                    </w:r>
                  </w:p>
                  <w:p w:rsidR="004B06F1" w:rsidRDefault="004B06F1">
                    <w:pPr>
                      <w:jc w:val="center"/>
                    </w:pPr>
                    <w:proofErr w:type="gramStart"/>
                    <w:r>
                      <w:t>or</w:t>
                    </w:r>
                    <w:proofErr w:type="gramEnd"/>
                  </w:p>
                  <w:p w:rsidR="004B06F1" w:rsidRDefault="004B06F1">
                    <w:pPr>
                      <w:jc w:val="center"/>
                    </w:pPr>
                    <w:r>
                      <w:t>Partner Name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8704580</wp:posOffset>
              </wp:positionH>
              <wp:positionV relativeFrom="page">
                <wp:posOffset>1466850</wp:posOffset>
              </wp:positionV>
              <wp:extent cx="1020445" cy="650875"/>
              <wp:effectExtent l="0" t="0" r="27305" b="15875"/>
              <wp:wrapSquare wrapText="largest"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650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6F1" w:rsidRDefault="004B06F1">
                          <w:pPr>
                            <w:jc w:val="center"/>
                          </w:pPr>
                          <w:r>
                            <w:tab/>
                            <w:t>Partner Logo</w:t>
                          </w:r>
                        </w:p>
                        <w:p w:rsidR="004B06F1" w:rsidRDefault="004B06F1">
                          <w:pPr>
                            <w:jc w:val="center"/>
                          </w:pPr>
                          <w:proofErr w:type="gramStart"/>
                          <w:r>
                            <w:t>or</w:t>
                          </w:r>
                          <w:proofErr w:type="gramEnd"/>
                        </w:p>
                        <w:p w:rsidR="004B06F1" w:rsidRDefault="004B06F1">
                          <w:pPr>
                            <w:jc w:val="center"/>
                          </w:pPr>
                          <w:r>
                            <w:t>Partner Name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685.4pt;margin-top:115.5pt;width:80.35pt;height:5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" strokeweight=".5pt">
              <v:fill opacity="0"/>
              <v:textbox inset="1pt,1pt,1pt,1pt">
                <w:txbxContent>
                  <w:p w:rsidR="004B06F1" w:rsidRDefault="004B06F1">
                    <w:pPr>
                      <w:jc w:val="center"/>
                    </w:pPr>
                    <w:r>
                      <w:tab/>
                      <w:t>Partner Logo</w:t>
                    </w:r>
                  </w:p>
                  <w:p w:rsidR="004B06F1" w:rsidRDefault="004B06F1">
                    <w:pPr>
                      <w:jc w:val="center"/>
                    </w:pPr>
                    <w:proofErr w:type="gramStart"/>
                    <w:r>
                      <w:t>or</w:t>
                    </w:r>
                    <w:proofErr w:type="gramEnd"/>
                  </w:p>
                  <w:p w:rsidR="004B06F1" w:rsidRDefault="004B06F1">
                    <w:pPr>
                      <w:jc w:val="center"/>
                    </w:pPr>
                    <w:r>
                      <w:t>Partner Name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59054</wp:posOffset>
              </wp:positionV>
              <wp:extent cx="6126480" cy="0"/>
              <wp:effectExtent l="0" t="0" r="2667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4.65pt" to="48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zxkQ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" strokeweight=".26mm">
              <v:stroke joinstyle="miter"/>
            </v:line>
          </w:pict>
        </mc:Fallback>
      </mc:AlternateContent>
    </w:r>
  </w:p>
  <w:p w:rsidR="004B06F1" w:rsidRDefault="004B06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1" w:rsidRDefault="004B06F1">
    <w:pPr>
      <w:pStyle w:val="Kopfzeile"/>
    </w:pPr>
    <w:r>
      <w:t xml:space="preserve"> </w:t>
    </w:r>
    <w:r>
      <w:rPr>
        <w:b/>
        <w:noProof/>
        <w:sz w:val="32"/>
        <w:szCs w:val="32"/>
        <w:lang w:val="en-US" w:eastAsia="en-US"/>
      </w:rPr>
      <w:drawing>
        <wp:inline distT="0" distB="0" distL="0" distR="0">
          <wp:extent cx="3173095" cy="727075"/>
          <wp:effectExtent l="0" t="0" r="0" b="0"/>
          <wp:docPr id="48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6F1" w:rsidRDefault="004B06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0000000A"/>
    <w:multiLevelType w:val="multi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StyleNum"/>
    <w:lvl w:ilvl="0">
      <w:start w:val="1"/>
      <w:numFmt w:val="decimal"/>
      <w:pStyle w:val="Gleichu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1Kapitelberschrift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A6A4285"/>
    <w:multiLevelType w:val="hybridMultilevel"/>
    <w:tmpl w:val="5DCE2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82D55"/>
    <w:multiLevelType w:val="multilevel"/>
    <w:tmpl w:val="8D54634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92D77CE"/>
    <w:multiLevelType w:val="hybridMultilevel"/>
    <w:tmpl w:val="C1CC3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E65B2"/>
    <w:multiLevelType w:val="hybridMultilevel"/>
    <w:tmpl w:val="E0CA37C0"/>
    <w:lvl w:ilvl="0" w:tplc="DC7ABF8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61385"/>
    <w:multiLevelType w:val="hybridMultilevel"/>
    <w:tmpl w:val="2AEA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30689"/>
    <w:multiLevelType w:val="singleLevel"/>
    <w:tmpl w:val="4FEA2BE4"/>
    <w:lvl w:ilvl="0">
      <w:start w:val="1"/>
      <w:numFmt w:val="bullet"/>
      <w:pStyle w:val="Estilo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0">
    <w:nsid w:val="3E186D25"/>
    <w:multiLevelType w:val="hybridMultilevel"/>
    <w:tmpl w:val="C3E4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00171"/>
    <w:multiLevelType w:val="hybridMultilevel"/>
    <w:tmpl w:val="0DDE50F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356970"/>
    <w:multiLevelType w:val="hybridMultilevel"/>
    <w:tmpl w:val="866AE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21B85"/>
    <w:multiLevelType w:val="hybridMultilevel"/>
    <w:tmpl w:val="4F409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525F2E"/>
    <w:multiLevelType w:val="hybridMultilevel"/>
    <w:tmpl w:val="4F40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B1B02"/>
    <w:multiLevelType w:val="hybridMultilevel"/>
    <w:tmpl w:val="BC7E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9"/>
  </w:num>
  <w:num w:numId="17">
    <w:abstractNumId w:val="23"/>
  </w:num>
  <w:num w:numId="18">
    <w:abstractNumId w:val="24"/>
  </w:num>
  <w:num w:numId="19">
    <w:abstractNumId w:val="17"/>
  </w:num>
  <w:num w:numId="20">
    <w:abstractNumId w:val="18"/>
  </w:num>
  <w:num w:numId="21">
    <w:abstractNumId w:val="25"/>
  </w:num>
  <w:num w:numId="22">
    <w:abstractNumId w:val="20"/>
  </w:num>
  <w:num w:numId="23">
    <w:abstractNumId w:val="16"/>
  </w:num>
  <w:num w:numId="24">
    <w:abstractNumId w:val="2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C"/>
    <w:rsid w:val="0000476B"/>
    <w:rsid w:val="0001145F"/>
    <w:rsid w:val="00020D93"/>
    <w:rsid w:val="00025E81"/>
    <w:rsid w:val="000340B0"/>
    <w:rsid w:val="00036B4B"/>
    <w:rsid w:val="00041B06"/>
    <w:rsid w:val="000432E5"/>
    <w:rsid w:val="0004458B"/>
    <w:rsid w:val="00055AF3"/>
    <w:rsid w:val="000660D7"/>
    <w:rsid w:val="00076E66"/>
    <w:rsid w:val="00083A9C"/>
    <w:rsid w:val="00084131"/>
    <w:rsid w:val="000879C0"/>
    <w:rsid w:val="000A19AD"/>
    <w:rsid w:val="000A63E8"/>
    <w:rsid w:val="000A778D"/>
    <w:rsid w:val="000C1799"/>
    <w:rsid w:val="000C24EA"/>
    <w:rsid w:val="000D221A"/>
    <w:rsid w:val="000D734B"/>
    <w:rsid w:val="000D756C"/>
    <w:rsid w:val="000D77CD"/>
    <w:rsid w:val="000E1B52"/>
    <w:rsid w:val="000E2AA7"/>
    <w:rsid w:val="000E31CE"/>
    <w:rsid w:val="000F04F3"/>
    <w:rsid w:val="000F13A8"/>
    <w:rsid w:val="000F15ED"/>
    <w:rsid w:val="000F38F8"/>
    <w:rsid w:val="000F3939"/>
    <w:rsid w:val="00103909"/>
    <w:rsid w:val="00110D65"/>
    <w:rsid w:val="0011126E"/>
    <w:rsid w:val="00125E38"/>
    <w:rsid w:val="00140C3B"/>
    <w:rsid w:val="00143494"/>
    <w:rsid w:val="001544A4"/>
    <w:rsid w:val="00171B8A"/>
    <w:rsid w:val="00173FD9"/>
    <w:rsid w:val="001821E4"/>
    <w:rsid w:val="001828FE"/>
    <w:rsid w:val="001868CD"/>
    <w:rsid w:val="00186DFC"/>
    <w:rsid w:val="0019050A"/>
    <w:rsid w:val="001948C9"/>
    <w:rsid w:val="00194B44"/>
    <w:rsid w:val="00196106"/>
    <w:rsid w:val="001A4824"/>
    <w:rsid w:val="001A52BE"/>
    <w:rsid w:val="001C1A80"/>
    <w:rsid w:val="001C2545"/>
    <w:rsid w:val="001C3956"/>
    <w:rsid w:val="001C5040"/>
    <w:rsid w:val="001C6355"/>
    <w:rsid w:val="001C7FDC"/>
    <w:rsid w:val="001D580B"/>
    <w:rsid w:val="001D606F"/>
    <w:rsid w:val="001D6812"/>
    <w:rsid w:val="001E4BD9"/>
    <w:rsid w:val="001E5BC6"/>
    <w:rsid w:val="001E797C"/>
    <w:rsid w:val="001F285F"/>
    <w:rsid w:val="001F364C"/>
    <w:rsid w:val="001F75CE"/>
    <w:rsid w:val="00201A45"/>
    <w:rsid w:val="0020422F"/>
    <w:rsid w:val="0020498A"/>
    <w:rsid w:val="00211C4E"/>
    <w:rsid w:val="00220820"/>
    <w:rsid w:val="002208FA"/>
    <w:rsid w:val="00232D1A"/>
    <w:rsid w:val="00233CDA"/>
    <w:rsid w:val="00250E20"/>
    <w:rsid w:val="00252686"/>
    <w:rsid w:val="00253B91"/>
    <w:rsid w:val="0025454D"/>
    <w:rsid w:val="00254E01"/>
    <w:rsid w:val="00264430"/>
    <w:rsid w:val="002655A7"/>
    <w:rsid w:val="00265739"/>
    <w:rsid w:val="00267D45"/>
    <w:rsid w:val="00277468"/>
    <w:rsid w:val="002819D1"/>
    <w:rsid w:val="00282ECD"/>
    <w:rsid w:val="0029000B"/>
    <w:rsid w:val="00295B1E"/>
    <w:rsid w:val="00295E04"/>
    <w:rsid w:val="002A37A3"/>
    <w:rsid w:val="002A4EE3"/>
    <w:rsid w:val="002B10C6"/>
    <w:rsid w:val="002B4BD1"/>
    <w:rsid w:val="002B67ED"/>
    <w:rsid w:val="002C0178"/>
    <w:rsid w:val="002C07A6"/>
    <w:rsid w:val="002C662D"/>
    <w:rsid w:val="002D0371"/>
    <w:rsid w:val="002D0E7B"/>
    <w:rsid w:val="002D1678"/>
    <w:rsid w:val="002D180A"/>
    <w:rsid w:val="002D27AA"/>
    <w:rsid w:val="002E137C"/>
    <w:rsid w:val="002E7E6C"/>
    <w:rsid w:val="00302A98"/>
    <w:rsid w:val="00310195"/>
    <w:rsid w:val="00310476"/>
    <w:rsid w:val="003144E9"/>
    <w:rsid w:val="0031787E"/>
    <w:rsid w:val="00317E09"/>
    <w:rsid w:val="00323EC4"/>
    <w:rsid w:val="00334BDE"/>
    <w:rsid w:val="00347538"/>
    <w:rsid w:val="00356100"/>
    <w:rsid w:val="00357FDF"/>
    <w:rsid w:val="00364589"/>
    <w:rsid w:val="00371222"/>
    <w:rsid w:val="00371395"/>
    <w:rsid w:val="00383817"/>
    <w:rsid w:val="00384563"/>
    <w:rsid w:val="0039715E"/>
    <w:rsid w:val="003B45B1"/>
    <w:rsid w:val="003C3BCE"/>
    <w:rsid w:val="003D09BA"/>
    <w:rsid w:val="003D11AB"/>
    <w:rsid w:val="003D26CC"/>
    <w:rsid w:val="003D4EB7"/>
    <w:rsid w:val="003E1B14"/>
    <w:rsid w:val="003E667C"/>
    <w:rsid w:val="003F1D06"/>
    <w:rsid w:val="003F68FF"/>
    <w:rsid w:val="004047ED"/>
    <w:rsid w:val="00407451"/>
    <w:rsid w:val="0041050E"/>
    <w:rsid w:val="0041544B"/>
    <w:rsid w:val="00415D3C"/>
    <w:rsid w:val="0041712B"/>
    <w:rsid w:val="00417BB7"/>
    <w:rsid w:val="004229AA"/>
    <w:rsid w:val="0042395C"/>
    <w:rsid w:val="004320D6"/>
    <w:rsid w:val="00433BCB"/>
    <w:rsid w:val="00445902"/>
    <w:rsid w:val="0045444E"/>
    <w:rsid w:val="00454595"/>
    <w:rsid w:val="00460A1B"/>
    <w:rsid w:val="00461631"/>
    <w:rsid w:val="00465859"/>
    <w:rsid w:val="004719FB"/>
    <w:rsid w:val="00472537"/>
    <w:rsid w:val="00472A5A"/>
    <w:rsid w:val="0049179E"/>
    <w:rsid w:val="00492375"/>
    <w:rsid w:val="0049383F"/>
    <w:rsid w:val="004957A3"/>
    <w:rsid w:val="00496F33"/>
    <w:rsid w:val="004A64BF"/>
    <w:rsid w:val="004A6F93"/>
    <w:rsid w:val="004B06F1"/>
    <w:rsid w:val="004B2EA1"/>
    <w:rsid w:val="004C1AF1"/>
    <w:rsid w:val="004C383C"/>
    <w:rsid w:val="004D3C05"/>
    <w:rsid w:val="004D46FF"/>
    <w:rsid w:val="004E0020"/>
    <w:rsid w:val="004E1D95"/>
    <w:rsid w:val="004F0F7F"/>
    <w:rsid w:val="00504CA6"/>
    <w:rsid w:val="0051227E"/>
    <w:rsid w:val="005146E9"/>
    <w:rsid w:val="005162C0"/>
    <w:rsid w:val="005226AF"/>
    <w:rsid w:val="005229B0"/>
    <w:rsid w:val="00524E8B"/>
    <w:rsid w:val="0053124A"/>
    <w:rsid w:val="005365DD"/>
    <w:rsid w:val="0054285B"/>
    <w:rsid w:val="00553502"/>
    <w:rsid w:val="005611C7"/>
    <w:rsid w:val="00573767"/>
    <w:rsid w:val="00583FAE"/>
    <w:rsid w:val="00591137"/>
    <w:rsid w:val="00591DA6"/>
    <w:rsid w:val="00593071"/>
    <w:rsid w:val="005B0983"/>
    <w:rsid w:val="005E61AE"/>
    <w:rsid w:val="005F00C2"/>
    <w:rsid w:val="0061048B"/>
    <w:rsid w:val="00610CAA"/>
    <w:rsid w:val="006209B6"/>
    <w:rsid w:val="00620BF5"/>
    <w:rsid w:val="00620CD8"/>
    <w:rsid w:val="0062153B"/>
    <w:rsid w:val="00624473"/>
    <w:rsid w:val="00626EBA"/>
    <w:rsid w:val="00635839"/>
    <w:rsid w:val="00636CB9"/>
    <w:rsid w:val="00637541"/>
    <w:rsid w:val="00647634"/>
    <w:rsid w:val="006535C8"/>
    <w:rsid w:val="00654AA9"/>
    <w:rsid w:val="00670303"/>
    <w:rsid w:val="0067368B"/>
    <w:rsid w:val="00676818"/>
    <w:rsid w:val="00676C3B"/>
    <w:rsid w:val="00677BCD"/>
    <w:rsid w:val="006A158A"/>
    <w:rsid w:val="006B6FA8"/>
    <w:rsid w:val="006C1256"/>
    <w:rsid w:val="006C3DF6"/>
    <w:rsid w:val="006C7A61"/>
    <w:rsid w:val="006D7164"/>
    <w:rsid w:val="006E1863"/>
    <w:rsid w:val="006E2808"/>
    <w:rsid w:val="006E6D5D"/>
    <w:rsid w:val="006E6E8D"/>
    <w:rsid w:val="006E7660"/>
    <w:rsid w:val="006F1521"/>
    <w:rsid w:val="006F21A3"/>
    <w:rsid w:val="00700548"/>
    <w:rsid w:val="00701AD5"/>
    <w:rsid w:val="007061B3"/>
    <w:rsid w:val="00706613"/>
    <w:rsid w:val="00715F22"/>
    <w:rsid w:val="00715F96"/>
    <w:rsid w:val="0072263B"/>
    <w:rsid w:val="007245F0"/>
    <w:rsid w:val="0074236E"/>
    <w:rsid w:val="00747A1C"/>
    <w:rsid w:val="00750171"/>
    <w:rsid w:val="00760C0A"/>
    <w:rsid w:val="00761691"/>
    <w:rsid w:val="00766B51"/>
    <w:rsid w:val="007702B9"/>
    <w:rsid w:val="00780764"/>
    <w:rsid w:val="007826AD"/>
    <w:rsid w:val="00791EDF"/>
    <w:rsid w:val="0079359E"/>
    <w:rsid w:val="0079408E"/>
    <w:rsid w:val="00794554"/>
    <w:rsid w:val="007A55FA"/>
    <w:rsid w:val="007A5CCD"/>
    <w:rsid w:val="007A68A0"/>
    <w:rsid w:val="007B077B"/>
    <w:rsid w:val="007B5C4C"/>
    <w:rsid w:val="007B647A"/>
    <w:rsid w:val="007C42FE"/>
    <w:rsid w:val="007C745D"/>
    <w:rsid w:val="007D3219"/>
    <w:rsid w:val="007E0421"/>
    <w:rsid w:val="007E6723"/>
    <w:rsid w:val="007E6BC9"/>
    <w:rsid w:val="007E760B"/>
    <w:rsid w:val="00805561"/>
    <w:rsid w:val="00810798"/>
    <w:rsid w:val="008133E5"/>
    <w:rsid w:val="00815208"/>
    <w:rsid w:val="00821E6E"/>
    <w:rsid w:val="008231E2"/>
    <w:rsid w:val="00823E9C"/>
    <w:rsid w:val="008277B7"/>
    <w:rsid w:val="008277FC"/>
    <w:rsid w:val="008316FE"/>
    <w:rsid w:val="00833A37"/>
    <w:rsid w:val="0085018B"/>
    <w:rsid w:val="008519E8"/>
    <w:rsid w:val="00853DAA"/>
    <w:rsid w:val="00854306"/>
    <w:rsid w:val="008633F7"/>
    <w:rsid w:val="00864C6B"/>
    <w:rsid w:val="00866A54"/>
    <w:rsid w:val="00874D51"/>
    <w:rsid w:val="00877AA8"/>
    <w:rsid w:val="008859E7"/>
    <w:rsid w:val="0088630E"/>
    <w:rsid w:val="008917D1"/>
    <w:rsid w:val="008924DE"/>
    <w:rsid w:val="008A365D"/>
    <w:rsid w:val="008A3A90"/>
    <w:rsid w:val="008B63B0"/>
    <w:rsid w:val="008E3693"/>
    <w:rsid w:val="008E3859"/>
    <w:rsid w:val="008E702C"/>
    <w:rsid w:val="00907315"/>
    <w:rsid w:val="009111EB"/>
    <w:rsid w:val="00916D07"/>
    <w:rsid w:val="00917018"/>
    <w:rsid w:val="0092386C"/>
    <w:rsid w:val="0092398D"/>
    <w:rsid w:val="00927310"/>
    <w:rsid w:val="0094552E"/>
    <w:rsid w:val="00950438"/>
    <w:rsid w:val="00950E4E"/>
    <w:rsid w:val="00951B93"/>
    <w:rsid w:val="00955EBF"/>
    <w:rsid w:val="0097327C"/>
    <w:rsid w:val="0097369D"/>
    <w:rsid w:val="0098282A"/>
    <w:rsid w:val="009A1A35"/>
    <w:rsid w:val="009A1DE7"/>
    <w:rsid w:val="009B03FC"/>
    <w:rsid w:val="009B6509"/>
    <w:rsid w:val="009B6512"/>
    <w:rsid w:val="009B70A8"/>
    <w:rsid w:val="009B7FB0"/>
    <w:rsid w:val="009C15B3"/>
    <w:rsid w:val="009D13CC"/>
    <w:rsid w:val="009D1C52"/>
    <w:rsid w:val="009D23CE"/>
    <w:rsid w:val="009E03BA"/>
    <w:rsid w:val="009E1C4A"/>
    <w:rsid w:val="009F0B87"/>
    <w:rsid w:val="009F4ACD"/>
    <w:rsid w:val="00A06183"/>
    <w:rsid w:val="00A0774C"/>
    <w:rsid w:val="00A150FE"/>
    <w:rsid w:val="00A16011"/>
    <w:rsid w:val="00A1611F"/>
    <w:rsid w:val="00A30E01"/>
    <w:rsid w:val="00A34F3C"/>
    <w:rsid w:val="00A36A59"/>
    <w:rsid w:val="00A40AE1"/>
    <w:rsid w:val="00A41DD5"/>
    <w:rsid w:val="00A57607"/>
    <w:rsid w:val="00A6330D"/>
    <w:rsid w:val="00A64C0D"/>
    <w:rsid w:val="00A65E6A"/>
    <w:rsid w:val="00A70D2B"/>
    <w:rsid w:val="00A72502"/>
    <w:rsid w:val="00A74DC9"/>
    <w:rsid w:val="00A923AF"/>
    <w:rsid w:val="00AA4FED"/>
    <w:rsid w:val="00AB54CD"/>
    <w:rsid w:val="00AB6284"/>
    <w:rsid w:val="00AC7122"/>
    <w:rsid w:val="00AD06BC"/>
    <w:rsid w:val="00AE3123"/>
    <w:rsid w:val="00AE4035"/>
    <w:rsid w:val="00AE680C"/>
    <w:rsid w:val="00AE696D"/>
    <w:rsid w:val="00AE7A21"/>
    <w:rsid w:val="00AE7D4A"/>
    <w:rsid w:val="00AF37EF"/>
    <w:rsid w:val="00B00D11"/>
    <w:rsid w:val="00B11ACF"/>
    <w:rsid w:val="00B13215"/>
    <w:rsid w:val="00B1331C"/>
    <w:rsid w:val="00B20439"/>
    <w:rsid w:val="00B20AC8"/>
    <w:rsid w:val="00B2170A"/>
    <w:rsid w:val="00B22208"/>
    <w:rsid w:val="00B266C2"/>
    <w:rsid w:val="00B32503"/>
    <w:rsid w:val="00B40D41"/>
    <w:rsid w:val="00B440E0"/>
    <w:rsid w:val="00B45C20"/>
    <w:rsid w:val="00B4610E"/>
    <w:rsid w:val="00B75442"/>
    <w:rsid w:val="00B96AD5"/>
    <w:rsid w:val="00BA3821"/>
    <w:rsid w:val="00BB4C16"/>
    <w:rsid w:val="00BB7414"/>
    <w:rsid w:val="00BC5AAD"/>
    <w:rsid w:val="00BD0067"/>
    <w:rsid w:val="00BD61E0"/>
    <w:rsid w:val="00BE64FB"/>
    <w:rsid w:val="00BE6D03"/>
    <w:rsid w:val="00BF0CA5"/>
    <w:rsid w:val="00BF3FD1"/>
    <w:rsid w:val="00BF5F0F"/>
    <w:rsid w:val="00C0251C"/>
    <w:rsid w:val="00C04FAE"/>
    <w:rsid w:val="00C074D7"/>
    <w:rsid w:val="00C133F1"/>
    <w:rsid w:val="00C14115"/>
    <w:rsid w:val="00C20D92"/>
    <w:rsid w:val="00C343F1"/>
    <w:rsid w:val="00C344C0"/>
    <w:rsid w:val="00C35F14"/>
    <w:rsid w:val="00C37259"/>
    <w:rsid w:val="00C5460E"/>
    <w:rsid w:val="00C55C8A"/>
    <w:rsid w:val="00C6019F"/>
    <w:rsid w:val="00C64CA0"/>
    <w:rsid w:val="00C66AF7"/>
    <w:rsid w:val="00C7748C"/>
    <w:rsid w:val="00C83669"/>
    <w:rsid w:val="00C846A7"/>
    <w:rsid w:val="00C848EF"/>
    <w:rsid w:val="00C92BA5"/>
    <w:rsid w:val="00C95D84"/>
    <w:rsid w:val="00CB07C7"/>
    <w:rsid w:val="00CB5680"/>
    <w:rsid w:val="00CC11F1"/>
    <w:rsid w:val="00CC3251"/>
    <w:rsid w:val="00CC5675"/>
    <w:rsid w:val="00CD0330"/>
    <w:rsid w:val="00CD3F0C"/>
    <w:rsid w:val="00CE0F4C"/>
    <w:rsid w:val="00CE35E2"/>
    <w:rsid w:val="00CF3EE7"/>
    <w:rsid w:val="00CF7B15"/>
    <w:rsid w:val="00D00343"/>
    <w:rsid w:val="00D01C30"/>
    <w:rsid w:val="00D04A3F"/>
    <w:rsid w:val="00D13313"/>
    <w:rsid w:val="00D13E49"/>
    <w:rsid w:val="00D304D2"/>
    <w:rsid w:val="00D32748"/>
    <w:rsid w:val="00D3721A"/>
    <w:rsid w:val="00D41753"/>
    <w:rsid w:val="00D459B9"/>
    <w:rsid w:val="00D61F73"/>
    <w:rsid w:val="00D637EE"/>
    <w:rsid w:val="00D73358"/>
    <w:rsid w:val="00D73852"/>
    <w:rsid w:val="00D7794B"/>
    <w:rsid w:val="00D80354"/>
    <w:rsid w:val="00D83063"/>
    <w:rsid w:val="00D93997"/>
    <w:rsid w:val="00D96C24"/>
    <w:rsid w:val="00D97575"/>
    <w:rsid w:val="00DA0F91"/>
    <w:rsid w:val="00DA3889"/>
    <w:rsid w:val="00DA3EA4"/>
    <w:rsid w:val="00DA5265"/>
    <w:rsid w:val="00DB4A36"/>
    <w:rsid w:val="00DC528D"/>
    <w:rsid w:val="00DD38BC"/>
    <w:rsid w:val="00DD6B44"/>
    <w:rsid w:val="00DD706D"/>
    <w:rsid w:val="00DE14DA"/>
    <w:rsid w:val="00DF1863"/>
    <w:rsid w:val="00E0020D"/>
    <w:rsid w:val="00E00ADC"/>
    <w:rsid w:val="00E0388A"/>
    <w:rsid w:val="00E04393"/>
    <w:rsid w:val="00E31595"/>
    <w:rsid w:val="00E32303"/>
    <w:rsid w:val="00E34E08"/>
    <w:rsid w:val="00E3665C"/>
    <w:rsid w:val="00E60204"/>
    <w:rsid w:val="00E75954"/>
    <w:rsid w:val="00E80473"/>
    <w:rsid w:val="00E80A97"/>
    <w:rsid w:val="00E84F9B"/>
    <w:rsid w:val="00E908B1"/>
    <w:rsid w:val="00E90DF7"/>
    <w:rsid w:val="00E912C0"/>
    <w:rsid w:val="00E9369C"/>
    <w:rsid w:val="00EA24A0"/>
    <w:rsid w:val="00EA4372"/>
    <w:rsid w:val="00EA745D"/>
    <w:rsid w:val="00EB15D0"/>
    <w:rsid w:val="00EC026F"/>
    <w:rsid w:val="00EC7138"/>
    <w:rsid w:val="00ED480B"/>
    <w:rsid w:val="00ED7EBF"/>
    <w:rsid w:val="00EE2D15"/>
    <w:rsid w:val="00EE4BD1"/>
    <w:rsid w:val="00EE749E"/>
    <w:rsid w:val="00EF2555"/>
    <w:rsid w:val="00EF4B5E"/>
    <w:rsid w:val="00EF5352"/>
    <w:rsid w:val="00F05F64"/>
    <w:rsid w:val="00F07253"/>
    <w:rsid w:val="00F14717"/>
    <w:rsid w:val="00F228BF"/>
    <w:rsid w:val="00F25CDF"/>
    <w:rsid w:val="00F31E5C"/>
    <w:rsid w:val="00F33E94"/>
    <w:rsid w:val="00F416E2"/>
    <w:rsid w:val="00F44B77"/>
    <w:rsid w:val="00F47525"/>
    <w:rsid w:val="00F5527D"/>
    <w:rsid w:val="00F562BC"/>
    <w:rsid w:val="00F641DC"/>
    <w:rsid w:val="00F713F8"/>
    <w:rsid w:val="00F815B2"/>
    <w:rsid w:val="00F87167"/>
    <w:rsid w:val="00F87FA8"/>
    <w:rsid w:val="00F9086E"/>
    <w:rsid w:val="00FA31D3"/>
    <w:rsid w:val="00FA76FB"/>
    <w:rsid w:val="00FB0FC9"/>
    <w:rsid w:val="00FB18E4"/>
    <w:rsid w:val="00FB6255"/>
    <w:rsid w:val="00FB73EC"/>
    <w:rsid w:val="00FC0A92"/>
    <w:rsid w:val="00FC0C89"/>
    <w:rsid w:val="00FC2BD2"/>
    <w:rsid w:val="00FC4CC3"/>
    <w:rsid w:val="00FC5FB8"/>
    <w:rsid w:val="00FD2F02"/>
    <w:rsid w:val="00FD3DB0"/>
    <w:rsid w:val="00FE332A"/>
    <w:rsid w:val="00FF0CD1"/>
    <w:rsid w:val="00FF60B6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100"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color w:val="0000FF"/>
    </w:rPr>
  </w:style>
  <w:style w:type="paragraph" w:styleId="berschrift8">
    <w:name w:val="heading 8"/>
    <w:basedOn w:val="Standard"/>
    <w:next w:val="Standard"/>
    <w:qFormat/>
    <w:pPr>
      <w:keepNext/>
      <w:autoSpaceDE w:val="0"/>
      <w:outlineLvl w:val="7"/>
    </w:pPr>
    <w:rPr>
      <w:b/>
      <w:bCs/>
      <w:sz w:val="32"/>
      <w:szCs w:val="34"/>
      <w:lang w:val="en-US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0z0">
    <w:name w:val="WW8Num20z0"/>
    <w:rPr>
      <w:u w:val="singl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styleId="Seitenzahl">
    <w:name w:val="page number"/>
    <w:basedOn w:val="Absatz-Standardschriftart"/>
    <w:semiHidden/>
  </w:style>
  <w:style w:type="character" w:customStyle="1" w:styleId="FootnoteCharacters">
    <w:name w:val="Footnote Characters"/>
    <w:rPr>
      <w:vertAlign w:val="superscript"/>
    </w:rPr>
  </w:style>
  <w:style w:type="character" w:styleId="Fett">
    <w:name w:val="Strong"/>
    <w:qFormat/>
    <w:rPr>
      <w:b/>
    </w:rPr>
  </w:style>
  <w:style w:type="character" w:styleId="Kommentarzeichen">
    <w:name w:val="annotation reference"/>
    <w:rPr>
      <w:sz w:val="16"/>
      <w:szCs w:val="16"/>
    </w:rPr>
  </w:style>
  <w:style w:type="paragraph" w:customStyle="1" w:styleId="Heading">
    <w:name w:val="Heading"/>
    <w:basedOn w:val="Standard"/>
    <w:next w:val="Textkrper"/>
    <w:pPr>
      <w:jc w:val="both"/>
    </w:pPr>
  </w:style>
  <w:style w:type="paragraph" w:styleId="Textkrper">
    <w:name w:val="Body Text"/>
    <w:basedOn w:val="Standard"/>
    <w:semiHidden/>
    <w:rPr>
      <w:b/>
      <w:sz w:val="36"/>
    </w:rPr>
  </w:style>
  <w:style w:type="paragraph" w:styleId="Liste">
    <w:name w:val="List"/>
    <w:basedOn w:val="Textkrper"/>
    <w:semiHidden/>
    <w:rPr>
      <w:rFonts w:cs="Lucidasans"/>
    </w:rPr>
  </w:style>
  <w:style w:type="paragraph" w:styleId="Beschriftung">
    <w:name w:val="caption"/>
    <w:basedOn w:val="Standard"/>
    <w:next w:val="Standard"/>
    <w:qFormat/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Nachrichtenkopf">
    <w:name w:val="Message Header"/>
    <w:basedOn w:val="Standard"/>
    <w:pPr>
      <w:ind w:left="1077" w:hanging="1077"/>
      <w:jc w:val="center"/>
    </w:pPr>
    <w:rPr>
      <w:rFonts w:ascii="Helvetica" w:hAnsi="Helvetica"/>
      <w:sz w:val="16"/>
      <w:lang w:val="en-US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paragraph" w:styleId="Textkrper3">
    <w:name w:val="Body Text 3"/>
    <w:basedOn w:val="Standard"/>
    <w:semiHidden/>
    <w:pPr>
      <w:jc w:val="both"/>
    </w:pPr>
    <w:rPr>
      <w:rFonts w:cs="Arial"/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right="-1425" w:firstLine="720"/>
      <w:jc w:val="both"/>
    </w:pPr>
    <w:rPr>
      <w:rFonts w:cs="Arial"/>
      <w:sz w:val="20"/>
      <w:lang w:val="en-US"/>
    </w:rPr>
  </w:style>
  <w:style w:type="paragraph" w:styleId="NurText">
    <w:name w:val="Plain Text"/>
    <w:basedOn w:val="Standard"/>
    <w:pPr>
      <w:tabs>
        <w:tab w:val="left" w:pos="720"/>
      </w:tabs>
    </w:pPr>
    <w:rPr>
      <w:rFonts w:ascii="Courier New" w:hAnsi="Courier New"/>
      <w:sz w:val="20"/>
      <w:szCs w:val="24"/>
      <w:lang w:val="en-US"/>
    </w:rPr>
  </w:style>
  <w:style w:type="paragraph" w:styleId="Funotentext">
    <w:name w:val="footnote text"/>
    <w:basedOn w:val="Standard"/>
    <w:semiHidden/>
    <w:rPr>
      <w:sz w:val="20"/>
      <w:szCs w:val="24"/>
      <w:lang w:val="en-US"/>
    </w:rPr>
  </w:style>
  <w:style w:type="paragraph" w:customStyle="1" w:styleId="FigureWCCM">
    <w:name w:val="Figure WCCM"/>
    <w:pPr>
      <w:widowControl w:val="0"/>
      <w:suppressAutoHyphens/>
      <w:autoSpaceDE w:val="0"/>
      <w:spacing w:after="240"/>
      <w:jc w:val="center"/>
    </w:pPr>
    <w:rPr>
      <w:lang w:val="en-US" w:eastAsia="ar-SA"/>
    </w:rPr>
  </w:style>
  <w:style w:type="paragraph" w:styleId="Liste2">
    <w:name w:val="List 2"/>
    <w:basedOn w:val="Standard"/>
    <w:pPr>
      <w:ind w:left="720" w:hanging="360"/>
    </w:pPr>
    <w:rPr>
      <w:sz w:val="20"/>
      <w:lang w:val="en-AU"/>
    </w:rPr>
  </w:style>
  <w:style w:type="paragraph" w:customStyle="1" w:styleId="Reference">
    <w:name w:val="Reference"/>
    <w:basedOn w:val="Standard"/>
    <w:pPr>
      <w:ind w:left="425" w:hanging="425"/>
      <w:jc w:val="both"/>
    </w:pPr>
    <w:rPr>
      <w:color w:val="000000"/>
      <w:sz w:val="18"/>
    </w:rPr>
  </w:style>
  <w:style w:type="paragraph" w:styleId="Textkrper-Einzug2">
    <w:name w:val="Body Text Indent 2"/>
    <w:basedOn w:val="Standard"/>
    <w:pPr>
      <w:ind w:firstLine="708"/>
      <w:jc w:val="both"/>
    </w:pPr>
  </w:style>
  <w:style w:type="paragraph" w:customStyle="1" w:styleId="1Kapitelberschrift">
    <w:name w:val="1. Kapitelüberschrift"/>
    <w:basedOn w:val="berschrift1"/>
    <w:pPr>
      <w:widowControl w:val="0"/>
      <w:numPr>
        <w:ilvl w:val="8"/>
        <w:numId w:val="14"/>
      </w:numPr>
      <w:tabs>
        <w:tab w:val="left" w:pos="432"/>
      </w:tabs>
      <w:overflowPunct w:val="0"/>
      <w:autoSpaceDE w:val="0"/>
      <w:spacing w:before="120" w:after="120"/>
      <w:ind w:left="360" w:hanging="360"/>
      <w:textAlignment w:val="baseline"/>
      <w:outlineLvl w:val="8"/>
    </w:pPr>
    <w:rPr>
      <w:caps/>
      <w:kern w:val="1"/>
      <w:sz w:val="20"/>
    </w:rPr>
  </w:style>
  <w:style w:type="paragraph" w:customStyle="1" w:styleId="11Abschnittsberschrift">
    <w:name w:val="1.1 Abschnittsüberschrift"/>
    <w:basedOn w:val="berschrift2"/>
    <w:pPr>
      <w:widowControl w:val="0"/>
      <w:tabs>
        <w:tab w:val="left" w:pos="576"/>
      </w:tabs>
      <w:overflowPunct w:val="0"/>
      <w:autoSpaceDE w:val="0"/>
      <w:spacing w:before="120" w:after="120"/>
      <w:textAlignment w:val="baseline"/>
    </w:pPr>
    <w:rPr>
      <w:b/>
      <w:sz w:val="20"/>
    </w:rPr>
  </w:style>
  <w:style w:type="paragraph" w:customStyle="1" w:styleId="111Unterabschnittsberschrift">
    <w:name w:val="1.1.1. Unterabschnittsüberschrift"/>
    <w:basedOn w:val="berschrift3"/>
    <w:pPr>
      <w:widowControl w:val="0"/>
      <w:tabs>
        <w:tab w:val="left" w:pos="720"/>
      </w:tabs>
      <w:overflowPunct w:val="0"/>
      <w:autoSpaceDE w:val="0"/>
      <w:spacing w:before="120" w:after="120"/>
      <w:jc w:val="left"/>
      <w:textAlignment w:val="baseline"/>
    </w:pPr>
    <w:rPr>
      <w:b/>
      <w:sz w:val="20"/>
    </w:rPr>
  </w:style>
  <w:style w:type="paragraph" w:customStyle="1" w:styleId="4berschrift">
    <w:name w:val="4. Überschrift"/>
    <w:basedOn w:val="berschrift4"/>
    <w:pPr>
      <w:widowControl w:val="0"/>
      <w:tabs>
        <w:tab w:val="left" w:pos="864"/>
      </w:tabs>
      <w:overflowPunct w:val="0"/>
      <w:autoSpaceDE w:val="0"/>
      <w:spacing w:before="120" w:after="120"/>
      <w:jc w:val="left"/>
      <w:textAlignment w:val="baseline"/>
    </w:pPr>
    <w:rPr>
      <w:sz w:val="20"/>
    </w:rPr>
  </w:style>
  <w:style w:type="paragraph" w:customStyle="1" w:styleId="5berschrift">
    <w:name w:val="5. Überschrift"/>
    <w:basedOn w:val="berschrift5"/>
    <w:pPr>
      <w:keepNext w:val="0"/>
      <w:widowControl w:val="0"/>
      <w:tabs>
        <w:tab w:val="left" w:pos="1008"/>
      </w:tabs>
      <w:overflowPunct w:val="0"/>
      <w:autoSpaceDE w:val="0"/>
      <w:spacing w:before="120" w:after="120"/>
      <w:textAlignment w:val="baseline"/>
    </w:pPr>
    <w:rPr>
      <w:sz w:val="20"/>
    </w:rPr>
  </w:style>
  <w:style w:type="paragraph" w:styleId="Textkrper-Einzug3">
    <w:name w:val="Body Text Indent 3"/>
    <w:basedOn w:val="Standard"/>
    <w:pPr>
      <w:ind w:firstLine="567"/>
    </w:pPr>
  </w:style>
  <w:style w:type="paragraph" w:customStyle="1" w:styleId="Gleichung">
    <w:name w:val="Gleichung"/>
    <w:basedOn w:val="Standard"/>
    <w:pPr>
      <w:widowControl w:val="0"/>
      <w:numPr>
        <w:numId w:val="13"/>
      </w:numPr>
      <w:tabs>
        <w:tab w:val="left" w:pos="360"/>
      </w:tabs>
      <w:overflowPunct w:val="0"/>
      <w:autoSpaceDE w:val="0"/>
      <w:ind w:left="357" w:hanging="357"/>
      <w:jc w:val="both"/>
      <w:textAlignment w:val="baseline"/>
    </w:pPr>
    <w:rPr>
      <w:sz w:val="18"/>
    </w:rPr>
  </w:style>
  <w:style w:type="paragraph" w:styleId="Kommentartext">
    <w:name w:val="annotation text"/>
    <w:basedOn w:val="Standard"/>
    <w:rPr>
      <w:sz w:val="2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MTDisplayEquation">
    <w:name w:val="MTDisplayEquation"/>
    <w:basedOn w:val="Standard"/>
    <w:next w:val="Standard"/>
    <w:pPr>
      <w:tabs>
        <w:tab w:val="center" w:pos="4820"/>
        <w:tab w:val="right" w:pos="9640"/>
      </w:tabs>
      <w:jc w:val="both"/>
    </w:p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709"/>
        <w:tab w:val="right" w:leader="dot" w:pos="9771"/>
      </w:tabs>
      <w:suppressAutoHyphens w:val="0"/>
      <w:spacing w:before="240" w:after="60"/>
    </w:pPr>
    <w:rPr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771"/>
      </w:tabs>
      <w:suppressAutoHyphens w:val="0"/>
      <w:spacing w:before="60" w:after="60"/>
      <w:ind w:left="851" w:hanging="653"/>
    </w:pPr>
    <w:rPr>
      <w:rFonts w:cs="Arial"/>
      <w:noProof/>
      <w:szCs w:val="22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stilo2">
    <w:name w:val="Estilo2"/>
    <w:autoRedefine/>
    <w:pPr>
      <w:numPr>
        <w:numId w:val="16"/>
      </w:numPr>
      <w:tabs>
        <w:tab w:val="clear" w:pos="360"/>
        <w:tab w:val="left" w:pos="851"/>
      </w:tabs>
      <w:ind w:left="851" w:hanging="284"/>
      <w:jc w:val="both"/>
    </w:pPr>
    <w:rPr>
      <w:rFonts w:ascii="Verdana" w:hAnsi="Verdana"/>
      <w:lang w:eastAsia="de-DE"/>
    </w:rPr>
  </w:style>
  <w:style w:type="paragraph" w:customStyle="1" w:styleId="Estilo11">
    <w:name w:val="Estilo11"/>
    <w:basedOn w:val="Estilo2"/>
    <w:autoRedefine/>
    <w:rPr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customStyle="1" w:styleId="Bullet1">
    <w:name w:val="Bullet1"/>
    <w:basedOn w:val="Standard"/>
    <w:rsid w:val="001E5BC6"/>
    <w:pPr>
      <w:numPr>
        <w:numId w:val="19"/>
      </w:numPr>
      <w:suppressAutoHyphens w:val="0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92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C0A92"/>
    <w:rPr>
      <w:color w:val="808080"/>
    </w:rPr>
  </w:style>
  <w:style w:type="paragraph" w:styleId="Listenabsatz">
    <w:name w:val="List Paragraph"/>
    <w:basedOn w:val="Standard"/>
    <w:uiPriority w:val="34"/>
    <w:qFormat/>
    <w:rsid w:val="00D939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100"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color w:val="0000FF"/>
    </w:rPr>
  </w:style>
  <w:style w:type="paragraph" w:styleId="berschrift8">
    <w:name w:val="heading 8"/>
    <w:basedOn w:val="Standard"/>
    <w:next w:val="Standard"/>
    <w:qFormat/>
    <w:pPr>
      <w:keepNext/>
      <w:autoSpaceDE w:val="0"/>
      <w:outlineLvl w:val="7"/>
    </w:pPr>
    <w:rPr>
      <w:b/>
      <w:bCs/>
      <w:sz w:val="32"/>
      <w:szCs w:val="34"/>
      <w:lang w:val="en-US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0z0">
    <w:name w:val="WW8Num20z0"/>
    <w:rPr>
      <w:u w:val="singl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styleId="Seitenzahl">
    <w:name w:val="page number"/>
    <w:basedOn w:val="Absatz-Standardschriftart"/>
    <w:semiHidden/>
  </w:style>
  <w:style w:type="character" w:customStyle="1" w:styleId="FootnoteCharacters">
    <w:name w:val="Footnote Characters"/>
    <w:rPr>
      <w:vertAlign w:val="superscript"/>
    </w:rPr>
  </w:style>
  <w:style w:type="character" w:styleId="Fett">
    <w:name w:val="Strong"/>
    <w:qFormat/>
    <w:rPr>
      <w:b/>
    </w:rPr>
  </w:style>
  <w:style w:type="character" w:styleId="Kommentarzeichen">
    <w:name w:val="annotation reference"/>
    <w:rPr>
      <w:sz w:val="16"/>
      <w:szCs w:val="16"/>
    </w:rPr>
  </w:style>
  <w:style w:type="paragraph" w:customStyle="1" w:styleId="Heading">
    <w:name w:val="Heading"/>
    <w:basedOn w:val="Standard"/>
    <w:next w:val="Textkrper"/>
    <w:pPr>
      <w:jc w:val="both"/>
    </w:pPr>
  </w:style>
  <w:style w:type="paragraph" w:styleId="Textkrper">
    <w:name w:val="Body Text"/>
    <w:basedOn w:val="Standard"/>
    <w:semiHidden/>
    <w:rPr>
      <w:b/>
      <w:sz w:val="36"/>
    </w:rPr>
  </w:style>
  <w:style w:type="paragraph" w:styleId="Liste">
    <w:name w:val="List"/>
    <w:basedOn w:val="Textkrper"/>
    <w:semiHidden/>
    <w:rPr>
      <w:rFonts w:cs="Lucidasans"/>
    </w:rPr>
  </w:style>
  <w:style w:type="paragraph" w:styleId="Beschriftung">
    <w:name w:val="caption"/>
    <w:basedOn w:val="Standard"/>
    <w:next w:val="Standard"/>
    <w:qFormat/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Nachrichtenkopf">
    <w:name w:val="Message Header"/>
    <w:basedOn w:val="Standard"/>
    <w:pPr>
      <w:ind w:left="1077" w:hanging="1077"/>
      <w:jc w:val="center"/>
    </w:pPr>
    <w:rPr>
      <w:rFonts w:ascii="Helvetica" w:hAnsi="Helvetica"/>
      <w:sz w:val="16"/>
      <w:lang w:val="en-US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paragraph" w:styleId="Textkrper3">
    <w:name w:val="Body Text 3"/>
    <w:basedOn w:val="Standard"/>
    <w:semiHidden/>
    <w:pPr>
      <w:jc w:val="both"/>
    </w:pPr>
    <w:rPr>
      <w:rFonts w:cs="Arial"/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right="-1425" w:firstLine="720"/>
      <w:jc w:val="both"/>
    </w:pPr>
    <w:rPr>
      <w:rFonts w:cs="Arial"/>
      <w:sz w:val="20"/>
      <w:lang w:val="en-US"/>
    </w:rPr>
  </w:style>
  <w:style w:type="paragraph" w:styleId="NurText">
    <w:name w:val="Plain Text"/>
    <w:basedOn w:val="Standard"/>
    <w:pPr>
      <w:tabs>
        <w:tab w:val="left" w:pos="720"/>
      </w:tabs>
    </w:pPr>
    <w:rPr>
      <w:rFonts w:ascii="Courier New" w:hAnsi="Courier New"/>
      <w:sz w:val="20"/>
      <w:szCs w:val="24"/>
      <w:lang w:val="en-US"/>
    </w:rPr>
  </w:style>
  <w:style w:type="paragraph" w:styleId="Funotentext">
    <w:name w:val="footnote text"/>
    <w:basedOn w:val="Standard"/>
    <w:semiHidden/>
    <w:rPr>
      <w:sz w:val="20"/>
      <w:szCs w:val="24"/>
      <w:lang w:val="en-US"/>
    </w:rPr>
  </w:style>
  <w:style w:type="paragraph" w:customStyle="1" w:styleId="FigureWCCM">
    <w:name w:val="Figure WCCM"/>
    <w:pPr>
      <w:widowControl w:val="0"/>
      <w:suppressAutoHyphens/>
      <w:autoSpaceDE w:val="0"/>
      <w:spacing w:after="240"/>
      <w:jc w:val="center"/>
    </w:pPr>
    <w:rPr>
      <w:lang w:val="en-US" w:eastAsia="ar-SA"/>
    </w:rPr>
  </w:style>
  <w:style w:type="paragraph" w:styleId="Liste2">
    <w:name w:val="List 2"/>
    <w:basedOn w:val="Standard"/>
    <w:pPr>
      <w:ind w:left="720" w:hanging="360"/>
    </w:pPr>
    <w:rPr>
      <w:sz w:val="20"/>
      <w:lang w:val="en-AU"/>
    </w:rPr>
  </w:style>
  <w:style w:type="paragraph" w:customStyle="1" w:styleId="Reference">
    <w:name w:val="Reference"/>
    <w:basedOn w:val="Standard"/>
    <w:pPr>
      <w:ind w:left="425" w:hanging="425"/>
      <w:jc w:val="both"/>
    </w:pPr>
    <w:rPr>
      <w:color w:val="000000"/>
      <w:sz w:val="18"/>
    </w:rPr>
  </w:style>
  <w:style w:type="paragraph" w:styleId="Textkrper-Einzug2">
    <w:name w:val="Body Text Indent 2"/>
    <w:basedOn w:val="Standard"/>
    <w:pPr>
      <w:ind w:firstLine="708"/>
      <w:jc w:val="both"/>
    </w:pPr>
  </w:style>
  <w:style w:type="paragraph" w:customStyle="1" w:styleId="1Kapitelberschrift">
    <w:name w:val="1. Kapitelüberschrift"/>
    <w:basedOn w:val="berschrift1"/>
    <w:pPr>
      <w:widowControl w:val="0"/>
      <w:numPr>
        <w:ilvl w:val="8"/>
        <w:numId w:val="14"/>
      </w:numPr>
      <w:tabs>
        <w:tab w:val="left" w:pos="432"/>
      </w:tabs>
      <w:overflowPunct w:val="0"/>
      <w:autoSpaceDE w:val="0"/>
      <w:spacing w:before="120" w:after="120"/>
      <w:ind w:left="360" w:hanging="360"/>
      <w:textAlignment w:val="baseline"/>
      <w:outlineLvl w:val="8"/>
    </w:pPr>
    <w:rPr>
      <w:caps/>
      <w:kern w:val="1"/>
      <w:sz w:val="20"/>
    </w:rPr>
  </w:style>
  <w:style w:type="paragraph" w:customStyle="1" w:styleId="11Abschnittsberschrift">
    <w:name w:val="1.1 Abschnittsüberschrift"/>
    <w:basedOn w:val="berschrift2"/>
    <w:pPr>
      <w:widowControl w:val="0"/>
      <w:tabs>
        <w:tab w:val="left" w:pos="576"/>
      </w:tabs>
      <w:overflowPunct w:val="0"/>
      <w:autoSpaceDE w:val="0"/>
      <w:spacing w:before="120" w:after="120"/>
      <w:textAlignment w:val="baseline"/>
    </w:pPr>
    <w:rPr>
      <w:b/>
      <w:sz w:val="20"/>
    </w:rPr>
  </w:style>
  <w:style w:type="paragraph" w:customStyle="1" w:styleId="111Unterabschnittsberschrift">
    <w:name w:val="1.1.1. Unterabschnittsüberschrift"/>
    <w:basedOn w:val="berschrift3"/>
    <w:pPr>
      <w:widowControl w:val="0"/>
      <w:tabs>
        <w:tab w:val="left" w:pos="720"/>
      </w:tabs>
      <w:overflowPunct w:val="0"/>
      <w:autoSpaceDE w:val="0"/>
      <w:spacing w:before="120" w:after="120"/>
      <w:jc w:val="left"/>
      <w:textAlignment w:val="baseline"/>
    </w:pPr>
    <w:rPr>
      <w:b/>
      <w:sz w:val="20"/>
    </w:rPr>
  </w:style>
  <w:style w:type="paragraph" w:customStyle="1" w:styleId="4berschrift">
    <w:name w:val="4. Überschrift"/>
    <w:basedOn w:val="berschrift4"/>
    <w:pPr>
      <w:widowControl w:val="0"/>
      <w:tabs>
        <w:tab w:val="left" w:pos="864"/>
      </w:tabs>
      <w:overflowPunct w:val="0"/>
      <w:autoSpaceDE w:val="0"/>
      <w:spacing w:before="120" w:after="120"/>
      <w:jc w:val="left"/>
      <w:textAlignment w:val="baseline"/>
    </w:pPr>
    <w:rPr>
      <w:sz w:val="20"/>
    </w:rPr>
  </w:style>
  <w:style w:type="paragraph" w:customStyle="1" w:styleId="5berschrift">
    <w:name w:val="5. Überschrift"/>
    <w:basedOn w:val="berschrift5"/>
    <w:pPr>
      <w:keepNext w:val="0"/>
      <w:widowControl w:val="0"/>
      <w:tabs>
        <w:tab w:val="left" w:pos="1008"/>
      </w:tabs>
      <w:overflowPunct w:val="0"/>
      <w:autoSpaceDE w:val="0"/>
      <w:spacing w:before="120" w:after="120"/>
      <w:textAlignment w:val="baseline"/>
    </w:pPr>
    <w:rPr>
      <w:sz w:val="20"/>
    </w:rPr>
  </w:style>
  <w:style w:type="paragraph" w:styleId="Textkrper-Einzug3">
    <w:name w:val="Body Text Indent 3"/>
    <w:basedOn w:val="Standard"/>
    <w:pPr>
      <w:ind w:firstLine="567"/>
    </w:pPr>
  </w:style>
  <w:style w:type="paragraph" w:customStyle="1" w:styleId="Gleichung">
    <w:name w:val="Gleichung"/>
    <w:basedOn w:val="Standard"/>
    <w:pPr>
      <w:widowControl w:val="0"/>
      <w:numPr>
        <w:numId w:val="13"/>
      </w:numPr>
      <w:tabs>
        <w:tab w:val="left" w:pos="360"/>
      </w:tabs>
      <w:overflowPunct w:val="0"/>
      <w:autoSpaceDE w:val="0"/>
      <w:ind w:left="357" w:hanging="357"/>
      <w:jc w:val="both"/>
      <w:textAlignment w:val="baseline"/>
    </w:pPr>
    <w:rPr>
      <w:sz w:val="18"/>
    </w:rPr>
  </w:style>
  <w:style w:type="paragraph" w:styleId="Kommentartext">
    <w:name w:val="annotation text"/>
    <w:basedOn w:val="Standard"/>
    <w:rPr>
      <w:sz w:val="2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MTDisplayEquation">
    <w:name w:val="MTDisplayEquation"/>
    <w:basedOn w:val="Standard"/>
    <w:next w:val="Standard"/>
    <w:pPr>
      <w:tabs>
        <w:tab w:val="center" w:pos="4820"/>
        <w:tab w:val="right" w:pos="9640"/>
      </w:tabs>
      <w:jc w:val="both"/>
    </w:p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709"/>
        <w:tab w:val="right" w:leader="dot" w:pos="9771"/>
      </w:tabs>
      <w:suppressAutoHyphens w:val="0"/>
      <w:spacing w:before="240" w:after="60"/>
    </w:pPr>
    <w:rPr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771"/>
      </w:tabs>
      <w:suppressAutoHyphens w:val="0"/>
      <w:spacing w:before="60" w:after="60"/>
      <w:ind w:left="851" w:hanging="653"/>
    </w:pPr>
    <w:rPr>
      <w:rFonts w:cs="Arial"/>
      <w:noProof/>
      <w:szCs w:val="22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stilo2">
    <w:name w:val="Estilo2"/>
    <w:autoRedefine/>
    <w:pPr>
      <w:numPr>
        <w:numId w:val="16"/>
      </w:numPr>
      <w:tabs>
        <w:tab w:val="clear" w:pos="360"/>
        <w:tab w:val="left" w:pos="851"/>
      </w:tabs>
      <w:ind w:left="851" w:hanging="284"/>
      <w:jc w:val="both"/>
    </w:pPr>
    <w:rPr>
      <w:rFonts w:ascii="Verdana" w:hAnsi="Verdana"/>
      <w:lang w:eastAsia="de-DE"/>
    </w:rPr>
  </w:style>
  <w:style w:type="paragraph" w:customStyle="1" w:styleId="Estilo11">
    <w:name w:val="Estilo11"/>
    <w:basedOn w:val="Estilo2"/>
    <w:autoRedefine/>
    <w:rPr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customStyle="1" w:styleId="Bullet1">
    <w:name w:val="Bullet1"/>
    <w:basedOn w:val="Standard"/>
    <w:rsid w:val="001E5BC6"/>
    <w:pPr>
      <w:numPr>
        <w:numId w:val="19"/>
      </w:numPr>
      <w:suppressAutoHyphens w:val="0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92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C0A92"/>
    <w:rPr>
      <w:color w:val="808080"/>
    </w:rPr>
  </w:style>
  <w:style w:type="paragraph" w:styleId="Listenabsatz">
    <w:name w:val="List Paragraph"/>
    <w:basedOn w:val="Standard"/>
    <w:uiPriority w:val="34"/>
    <w:qFormat/>
    <w:rsid w:val="00D939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8E1A-FA63-4BBC-A72A-A05A123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Deliverable Dx</vt:lpstr>
      <vt:lpstr>Deliverable Dx</vt:lpstr>
    </vt:vector>
  </TitlesOfParts>
  <Company>DLR</Company>
  <LinksUpToDate>false</LinksUpToDate>
  <CharactersWithSpaces>16823</CharactersWithSpaces>
  <SharedDoc>false</SharedDoc>
  <HLinks>
    <vt:vector size="96" baseType="variant"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_Toc234731484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_Toc234731483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_Toc234731482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_Toc234731481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_Toc234731480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_Toc234731479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_Toc234731478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_Toc234731477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_Toc234731476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_Toc234731475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_Toc234731474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_Toc234731473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_Toc234731472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_Toc234731471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_Toc234731470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_Toc234731469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Dx</dc:title>
  <dc:creator>DS</dc:creator>
  <cp:lastModifiedBy>Marian Fuchs</cp:lastModifiedBy>
  <cp:revision>56</cp:revision>
  <cp:lastPrinted>2014-10-10T15:49:00Z</cp:lastPrinted>
  <dcterms:created xsi:type="dcterms:W3CDTF">2014-10-21T13:00:00Z</dcterms:created>
  <dcterms:modified xsi:type="dcterms:W3CDTF">2014-10-21T14:12:00Z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Number2">
    <vt:lpwstr>(#S1.#E1)</vt:lpwstr>
  </property>
</Properties>
</file>